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AA9252" w14:textId="77777777" w:rsidR="00815C2E" w:rsidRDefault="004505DC">
      <w:pPr>
        <w:widowControl w:val="0"/>
        <w:spacing w:line="240" w:lineRule="auto"/>
        <w:rPr>
          <w:rFonts w:ascii="Arial" w:eastAsia="Arial" w:hAnsi="Arial" w:cs="Arial"/>
          <w:b/>
          <w:color w:val="000000"/>
          <w:sz w:val="36"/>
          <w:szCs w:val="36"/>
        </w:rPr>
      </w:pPr>
      <w:bookmarkStart w:id="0" w:name="_heading=h.xx7jlw6lq2f" w:colFirst="0" w:colLast="0"/>
      <w:bookmarkEnd w:id="0"/>
      <w:r>
        <w:rPr>
          <w:rFonts w:ascii="Arial" w:eastAsia="Arial" w:hAnsi="Arial" w:cs="Arial"/>
          <w:b/>
          <w:color w:val="000000"/>
          <w:sz w:val="36"/>
          <w:szCs w:val="36"/>
        </w:rPr>
        <w:t xml:space="preserve">Community Participation, Education, </w:t>
      </w:r>
      <w:r>
        <w:rPr>
          <w:rFonts w:ascii="Arial" w:eastAsia="Arial" w:hAnsi="Arial" w:cs="Arial"/>
          <w:b/>
          <w:color w:val="000000"/>
          <w:sz w:val="36"/>
          <w:szCs w:val="36"/>
        </w:rPr>
        <w:br/>
        <w:t xml:space="preserve">and Project Promotion Plan: </w:t>
      </w:r>
      <w:r>
        <w:rPr>
          <w:rFonts w:ascii="Arial" w:eastAsia="Arial" w:hAnsi="Arial" w:cs="Arial"/>
          <w:b/>
          <w:color w:val="000000"/>
          <w:sz w:val="36"/>
          <w:szCs w:val="36"/>
        </w:rPr>
        <w:br/>
        <w:t xml:space="preserve">Objectives, Activities, and Worksheet </w:t>
      </w:r>
      <w:r>
        <w:rPr>
          <w:noProof/>
        </w:rPr>
        <w:drawing>
          <wp:anchor distT="0" distB="0" distL="114300" distR="114300" simplePos="0" relativeHeight="251658240" behindDoc="0" locked="0" layoutInCell="1" hidden="0" allowOverlap="1" wp14:anchorId="5858EC28" wp14:editId="75BE59DF">
            <wp:simplePos x="0" y="0"/>
            <wp:positionH relativeFrom="column">
              <wp:posOffset>4975273</wp:posOffset>
            </wp:positionH>
            <wp:positionV relativeFrom="paragraph">
              <wp:posOffset>37495</wp:posOffset>
            </wp:positionV>
            <wp:extent cx="1700213" cy="460474"/>
            <wp:effectExtent l="0" t="0" r="0" b="0"/>
            <wp:wrapNone/>
            <wp:docPr id="24" name="image1.png" descr="RHNTC Reproductive Health National Training Center logo"/>
            <wp:cNvGraphicFramePr/>
            <a:graphic xmlns:a="http://schemas.openxmlformats.org/drawingml/2006/main">
              <a:graphicData uri="http://schemas.openxmlformats.org/drawingml/2006/picture">
                <pic:pic xmlns:pic="http://schemas.openxmlformats.org/drawingml/2006/picture">
                  <pic:nvPicPr>
                    <pic:cNvPr id="24" name="image1.png" descr="RHNTC Reproductive Health National Training Center logo"/>
                    <pic:cNvPicPr preferRelativeResize="0"/>
                  </pic:nvPicPr>
                  <pic:blipFill>
                    <a:blip r:embed="rId8"/>
                    <a:srcRect l="-2855" r="2855"/>
                    <a:stretch>
                      <a:fillRect/>
                    </a:stretch>
                  </pic:blipFill>
                  <pic:spPr>
                    <a:xfrm>
                      <a:off x="0" y="0"/>
                      <a:ext cx="1700213" cy="460474"/>
                    </a:xfrm>
                    <a:prstGeom prst="rect">
                      <a:avLst/>
                    </a:prstGeom>
                    <a:ln/>
                  </pic:spPr>
                </pic:pic>
              </a:graphicData>
            </a:graphic>
          </wp:anchor>
        </w:drawing>
      </w:r>
    </w:p>
    <w:p w14:paraId="3DBC2B28" w14:textId="746990F7" w:rsidR="00815C2E" w:rsidRDefault="004505DC">
      <w:pPr>
        <w:rPr>
          <w:rFonts w:ascii="Arial" w:eastAsia="Arial" w:hAnsi="Arial" w:cs="Arial"/>
          <w:b/>
          <w:sz w:val="36"/>
          <w:szCs w:val="36"/>
        </w:rPr>
      </w:pPr>
      <w:r>
        <w:rPr>
          <w:rFonts w:ascii="Arial" w:eastAsia="Arial" w:hAnsi="Arial" w:cs="Arial"/>
          <w:b/>
          <w:color w:val="21617C"/>
          <w:sz w:val="28"/>
          <w:szCs w:val="28"/>
        </w:rPr>
        <w:t>Purpose</w:t>
      </w:r>
      <w:r>
        <w:rPr>
          <w:rFonts w:ascii="Arial" w:eastAsia="Arial" w:hAnsi="Arial" w:cs="Arial"/>
          <w:b/>
          <w:color w:val="21617C"/>
          <w:sz w:val="36"/>
          <w:szCs w:val="36"/>
        </w:rPr>
        <w:t xml:space="preserve"> </w:t>
      </w:r>
      <w:r>
        <w:rPr>
          <w:rFonts w:ascii="Arial" w:eastAsia="Arial" w:hAnsi="Arial" w:cs="Arial"/>
          <w:b/>
          <w:sz w:val="36"/>
          <w:szCs w:val="36"/>
        </w:rPr>
        <w:br/>
      </w:r>
      <w:r>
        <w:rPr>
          <w:rFonts w:ascii="Arial" w:eastAsia="Arial" w:hAnsi="Arial" w:cs="Arial"/>
          <w:sz w:val="22"/>
          <w:szCs w:val="22"/>
        </w:rPr>
        <w:t xml:space="preserve">This document addresses community participation, education, and project promotion (CPEP) activities in support of the </w:t>
      </w:r>
      <w:hyperlink r:id="rId9">
        <w:r>
          <w:rPr>
            <w:rFonts w:ascii="Arial" w:eastAsia="Arial" w:hAnsi="Arial" w:cs="Arial"/>
            <w:color w:val="21617C"/>
            <w:sz w:val="22"/>
            <w:szCs w:val="22"/>
            <w:u w:val="single"/>
          </w:rPr>
          <w:t xml:space="preserve">Title X </w:t>
        </w:r>
        <w:r w:rsidR="008D59BC">
          <w:rPr>
            <w:rFonts w:ascii="Arial" w:eastAsia="Arial" w:hAnsi="Arial" w:cs="Arial"/>
            <w:color w:val="21617C"/>
            <w:sz w:val="22"/>
            <w:szCs w:val="22"/>
            <w:u w:val="single"/>
          </w:rPr>
          <w:t>expectation</w:t>
        </w:r>
      </w:hyperlink>
      <w:r>
        <w:rPr>
          <w:rFonts w:ascii="Arial" w:eastAsia="Arial" w:hAnsi="Arial" w:cs="Arial"/>
          <w:color w:val="4F81BD"/>
          <w:sz w:val="22"/>
          <w:szCs w:val="22"/>
        </w:rPr>
        <w:t xml:space="preserve"> </w:t>
      </w:r>
      <w:r>
        <w:rPr>
          <w:rFonts w:ascii="Arial" w:eastAsia="Arial" w:hAnsi="Arial" w:cs="Arial"/>
          <w:sz w:val="22"/>
          <w:szCs w:val="22"/>
        </w:rPr>
        <w:t xml:space="preserve">for community education, participation, and engagement. It is intended to support Title X family planning agencies, as they develop, implement, and evaluate components of their CPEP plans. The </w:t>
      </w:r>
      <w:hyperlink r:id="rId10">
        <w:r>
          <w:rPr>
            <w:rFonts w:ascii="Arial" w:eastAsia="Arial" w:hAnsi="Arial" w:cs="Arial"/>
            <w:color w:val="21617C"/>
            <w:sz w:val="22"/>
            <w:szCs w:val="22"/>
            <w:u w:val="single"/>
          </w:rPr>
          <w:t>Code of Federal Regulations (CFRs)</w:t>
        </w:r>
      </w:hyperlink>
      <w:r>
        <w:rPr>
          <w:rFonts w:ascii="Arial" w:eastAsia="Arial" w:hAnsi="Arial" w:cs="Arial"/>
          <w:color w:val="21617C"/>
          <w:sz w:val="22"/>
          <w:szCs w:val="22"/>
        </w:rPr>
        <w:t xml:space="preserve"> </w:t>
      </w:r>
      <w:r>
        <w:rPr>
          <w:rFonts w:ascii="Arial" w:eastAsia="Arial" w:hAnsi="Arial" w:cs="Arial"/>
          <w:sz w:val="22"/>
          <w:szCs w:val="22"/>
        </w:rPr>
        <w:t xml:space="preserve">states that: </w:t>
      </w:r>
    </w:p>
    <w:p w14:paraId="76D06F6D" w14:textId="05EEE934" w:rsidR="00815C2E" w:rsidRDefault="008C2E0F">
      <w:pPr>
        <w:numPr>
          <w:ilvl w:val="0"/>
          <w:numId w:val="2"/>
        </w:numPr>
        <w:rPr>
          <w:rFonts w:ascii="Lato" w:eastAsia="Lato" w:hAnsi="Lato" w:cs="Lato"/>
          <w:sz w:val="22"/>
          <w:szCs w:val="22"/>
        </w:rPr>
      </w:pPr>
      <w:r>
        <w:rPr>
          <w:noProof/>
        </w:rPr>
        <mc:AlternateContent>
          <mc:Choice Requires="wps">
            <w:drawing>
              <wp:anchor distT="0" distB="0" distL="114300" distR="114300" simplePos="0" relativeHeight="251659264" behindDoc="0" locked="0" layoutInCell="1" hidden="0" allowOverlap="1" wp14:anchorId="5669C2AA" wp14:editId="641D1CAA">
                <wp:simplePos x="0" y="0"/>
                <wp:positionH relativeFrom="column">
                  <wp:posOffset>4503420</wp:posOffset>
                </wp:positionH>
                <wp:positionV relativeFrom="paragraph">
                  <wp:posOffset>70485</wp:posOffset>
                </wp:positionV>
                <wp:extent cx="2080260" cy="2682240"/>
                <wp:effectExtent l="0" t="0" r="0" b="3810"/>
                <wp:wrapSquare wrapText="bothSides" distT="0" distB="0" distL="114300" distR="114300"/>
                <wp:docPr id="21" name="Rectangle 21"/>
                <wp:cNvGraphicFramePr/>
                <a:graphic xmlns:a="http://schemas.openxmlformats.org/drawingml/2006/main">
                  <a:graphicData uri="http://schemas.microsoft.com/office/word/2010/wordprocessingShape">
                    <wps:wsp>
                      <wps:cNvSpPr/>
                      <wps:spPr>
                        <a:xfrm>
                          <a:off x="0" y="0"/>
                          <a:ext cx="2080260" cy="2682240"/>
                        </a:xfrm>
                        <a:prstGeom prst="rect">
                          <a:avLst/>
                        </a:prstGeom>
                        <a:solidFill>
                          <a:srgbClr val="D9EDF8"/>
                        </a:solidFill>
                        <a:ln>
                          <a:noFill/>
                        </a:ln>
                      </wps:spPr>
                      <wps:txbx>
                        <w:txbxContent>
                          <w:p w14:paraId="134ED442" w14:textId="75A4CDEA" w:rsidR="00815C2E" w:rsidRDefault="004505DC">
                            <w:pPr>
                              <w:spacing w:line="275" w:lineRule="auto"/>
                              <w:textDirection w:val="btLr"/>
                            </w:pPr>
                            <w:r>
                              <w:rPr>
                                <w:rFonts w:ascii="Arial" w:eastAsia="Arial" w:hAnsi="Arial" w:cs="Arial"/>
                                <w:b/>
                                <w:color w:val="000000"/>
                                <w:sz w:val="22"/>
                              </w:rPr>
                              <w:t>Benefits of CPEP Activities</w:t>
                            </w:r>
                            <w:r>
                              <w:rPr>
                                <w:rFonts w:ascii="Arial" w:eastAsia="Arial" w:hAnsi="Arial" w:cs="Arial"/>
                                <w:b/>
                                <w:color w:val="FFFFFF"/>
                                <w:sz w:val="22"/>
                              </w:rPr>
                              <w:br/>
                            </w:r>
                            <w:r>
                              <w:rPr>
                                <w:rFonts w:ascii="Arial" w:eastAsia="Arial" w:hAnsi="Arial" w:cs="Arial"/>
                                <w:color w:val="000000"/>
                                <w:sz w:val="22"/>
                              </w:rPr>
                              <w:t xml:space="preserve">Conducting CPEP activities provide opportunities for agencies to advance health within their community by engaging individuals </w:t>
                            </w:r>
                            <w:r w:rsidR="008C2E0F">
                              <w:rPr>
                                <w:rFonts w:ascii="Arial" w:eastAsia="Arial" w:hAnsi="Arial" w:cs="Arial"/>
                                <w:color w:val="000000"/>
                                <w:sz w:val="22"/>
                              </w:rPr>
                              <w:t>representing current and potential family planning clients</w:t>
                            </w:r>
                            <w:r>
                              <w:rPr>
                                <w:rFonts w:ascii="Arial" w:eastAsia="Arial" w:hAnsi="Arial" w:cs="Arial"/>
                                <w:color w:val="000000"/>
                                <w:sz w:val="22"/>
                              </w:rPr>
                              <w:t>. By involving individuals from these groups, agencies can improve their ability to communicate about and deliver services to the entire community.</w:t>
                            </w:r>
                            <w:r>
                              <w:rPr>
                                <w:rFonts w:ascii="Arial" w:eastAsia="Arial" w:hAnsi="Arial" w:cs="Arial"/>
                                <w:color w:val="FFFFFF"/>
                                <w:sz w:val="22"/>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669C2AA" id="Rectangle 21" o:spid="_x0000_s1026" style="position:absolute;left:0;text-align:left;margin-left:354.6pt;margin-top:5.55pt;width:163.8pt;height:2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" fillcolor="#d9edf8" stroked="f">
                <v:textbox inset="2.53958mm,1.2694mm,2.53958mm,1.2694mm">
                  <w:txbxContent>
                    <w:p w14:paraId="134ED442" w14:textId="75A4CDEA" w:rsidR="00815C2E" w:rsidRDefault="004505DC">
                      <w:pPr>
                        <w:spacing w:line="275" w:lineRule="auto"/>
                        <w:textDirection w:val="btLr"/>
                      </w:pPr>
                      <w:r>
                        <w:rPr>
                          <w:rFonts w:ascii="Arial" w:eastAsia="Arial" w:hAnsi="Arial" w:cs="Arial"/>
                          <w:b/>
                          <w:color w:val="000000"/>
                          <w:sz w:val="22"/>
                        </w:rPr>
                        <w:t>Benefits of CPEP Activities</w:t>
                      </w:r>
                      <w:r>
                        <w:rPr>
                          <w:rFonts w:ascii="Arial" w:eastAsia="Arial" w:hAnsi="Arial" w:cs="Arial"/>
                          <w:b/>
                          <w:color w:val="FFFFFF"/>
                          <w:sz w:val="22"/>
                        </w:rPr>
                        <w:br/>
                      </w:r>
                      <w:r>
                        <w:rPr>
                          <w:rFonts w:ascii="Arial" w:eastAsia="Arial" w:hAnsi="Arial" w:cs="Arial"/>
                          <w:color w:val="000000"/>
                          <w:sz w:val="22"/>
                        </w:rPr>
                        <w:t xml:space="preserve">Conducting CPEP activities provide opportunities for agencies to advance health within their community by engaging individuals </w:t>
                      </w:r>
                      <w:r w:rsidR="008C2E0F">
                        <w:rPr>
                          <w:rFonts w:ascii="Arial" w:eastAsia="Arial" w:hAnsi="Arial" w:cs="Arial"/>
                          <w:color w:val="000000"/>
                          <w:sz w:val="22"/>
                        </w:rPr>
                        <w:t>representing current and potential family planning clients</w:t>
                      </w:r>
                      <w:r>
                        <w:rPr>
                          <w:rFonts w:ascii="Arial" w:eastAsia="Arial" w:hAnsi="Arial" w:cs="Arial"/>
                          <w:color w:val="000000"/>
                          <w:sz w:val="22"/>
                        </w:rPr>
                        <w:t>. By involving individuals from these groups, agencies can improve their ability to communicate about and deliver services to the entire community.</w:t>
                      </w:r>
                      <w:r>
                        <w:rPr>
                          <w:rFonts w:ascii="Arial" w:eastAsia="Arial" w:hAnsi="Arial" w:cs="Arial"/>
                          <w:color w:val="FFFFFF"/>
                          <w:sz w:val="22"/>
                        </w:rPr>
                        <w:t xml:space="preserve"> </w:t>
                      </w:r>
                    </w:p>
                  </w:txbxContent>
                </v:textbox>
                <w10:wrap type="square"/>
              </v:rect>
            </w:pict>
          </mc:Fallback>
        </mc:AlternateContent>
      </w:r>
      <w:r w:rsidR="004505DC">
        <w:rPr>
          <w:rFonts w:ascii="Arial" w:eastAsia="Arial" w:hAnsi="Arial" w:cs="Arial"/>
          <w:sz w:val="22"/>
          <w:szCs w:val="22"/>
        </w:rPr>
        <w:t>Title X agencies must provide “to the maximum feasible extent, an opportunity for participation in the development, implementation, and evaluation of the project by persons broadly representative of all significant elements of the population to be served and by persons in the community knowledgeable about the community’s need for family planning services” (42 CFR 59.5(b)(10))</w:t>
      </w:r>
      <w:r w:rsidR="004505DC">
        <w:rPr>
          <w:rFonts w:ascii="Lato" w:eastAsia="Lato" w:hAnsi="Lato" w:cs="Lato"/>
          <w:sz w:val="22"/>
          <w:szCs w:val="22"/>
          <w:highlight w:val="white"/>
        </w:rPr>
        <w:t>.</w:t>
      </w:r>
      <w:r w:rsidR="004505DC">
        <w:rPr>
          <w:noProof/>
        </w:rPr>
        <mc:AlternateContent>
          <mc:Choice Requires="wps">
            <w:drawing>
              <wp:anchor distT="0" distB="0" distL="114300" distR="114300" simplePos="0" relativeHeight="251660288" behindDoc="0" locked="0" layoutInCell="1" hidden="0" allowOverlap="1" wp14:anchorId="5434F1C9" wp14:editId="0E2C9D8A">
                <wp:simplePos x="0" y="0"/>
                <wp:positionH relativeFrom="column">
                  <wp:posOffset>25401</wp:posOffset>
                </wp:positionH>
                <wp:positionV relativeFrom="paragraph">
                  <wp:posOffset>50800</wp:posOffset>
                </wp:positionV>
                <wp:extent cx="0" cy="302514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2267430"/>
                          <a:ext cx="0" cy="3025140"/>
                        </a:xfrm>
                        <a:prstGeom prst="straightConnector1">
                          <a:avLst/>
                        </a:prstGeom>
                        <a:noFill/>
                        <a:ln w="25400" cap="flat" cmpd="sng">
                          <a:solidFill>
                            <a:srgbClr val="21617C"/>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0" cy="3025140"/>
                <wp:effectExtent b="0" l="0" r="0" t="0"/>
                <wp:wrapNone/>
                <wp:docPr id="2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3025140"/>
                        </a:xfrm>
                        <a:prstGeom prst="rect"/>
                        <a:ln/>
                      </pic:spPr>
                    </pic:pic>
                  </a:graphicData>
                </a:graphic>
              </wp:anchor>
            </w:drawing>
          </mc:Fallback>
        </mc:AlternateContent>
      </w:r>
    </w:p>
    <w:p w14:paraId="354F96E5" w14:textId="77777777" w:rsidR="00815C2E" w:rsidRDefault="004505DC">
      <w:pPr>
        <w:numPr>
          <w:ilvl w:val="0"/>
          <w:numId w:val="2"/>
        </w:numPr>
        <w:rPr>
          <w:rFonts w:ascii="Arial" w:eastAsia="Arial" w:hAnsi="Arial" w:cs="Arial"/>
          <w:sz w:val="22"/>
          <w:szCs w:val="22"/>
        </w:rPr>
      </w:pPr>
      <w:r>
        <w:rPr>
          <w:rFonts w:ascii="Arial" w:eastAsia="Arial" w:hAnsi="Arial" w:cs="Arial"/>
          <w:sz w:val="22"/>
          <w:szCs w:val="22"/>
        </w:rPr>
        <w:t xml:space="preserve">Each family planning project must provide for opportunities for community education, participation, and engagement. Community education should serve to “achieve community understanding of the objectives of the project, inform the community of the availability of services, and promote continued participation in the project by diverse persons to whom family planning services may be beneficial to ensure access to equitable, affordable, client-centered, quality family planning services” (42 CFR 59.5(b)(3)). </w:t>
      </w:r>
    </w:p>
    <w:p w14:paraId="495C910E" w14:textId="77777777" w:rsidR="00815C2E" w:rsidRDefault="004505DC">
      <w:pPr>
        <w:rPr>
          <w:rFonts w:ascii="Arial" w:eastAsia="Arial" w:hAnsi="Arial" w:cs="Arial"/>
          <w:b/>
          <w:color w:val="4F81BD"/>
          <w:sz w:val="36"/>
          <w:szCs w:val="36"/>
          <w:highlight w:val="white"/>
        </w:rPr>
      </w:pPr>
      <w:r>
        <w:rPr>
          <w:rFonts w:ascii="Arial" w:eastAsia="Arial" w:hAnsi="Arial" w:cs="Arial"/>
          <w:b/>
          <w:color w:val="21617C"/>
          <w:sz w:val="28"/>
          <w:szCs w:val="28"/>
          <w:highlight w:val="white"/>
        </w:rPr>
        <w:t>Process for Identifying CPEP Activities</w:t>
      </w:r>
      <w:r>
        <w:rPr>
          <w:rFonts w:ascii="Arial" w:eastAsia="Arial" w:hAnsi="Arial" w:cs="Arial"/>
          <w:b/>
          <w:color w:val="4F81BD"/>
          <w:sz w:val="36"/>
          <w:szCs w:val="36"/>
          <w:highlight w:val="white"/>
        </w:rPr>
        <w:br/>
      </w:r>
      <w:r>
        <w:rPr>
          <w:rFonts w:ascii="Arial" w:eastAsia="Arial" w:hAnsi="Arial" w:cs="Arial"/>
          <w:sz w:val="22"/>
          <w:szCs w:val="22"/>
          <w:highlight w:val="white"/>
        </w:rPr>
        <w:t>In order for a family planning agency to identify the CPEP activities most in line with its community and client needs, follow these four steps:</w:t>
      </w:r>
    </w:p>
    <w:p w14:paraId="7F3592F5" w14:textId="77777777" w:rsidR="00815C2E" w:rsidRDefault="004505DC">
      <w:pPr>
        <w:ind w:left="720"/>
        <w:rPr>
          <w:rFonts w:ascii="Arial" w:eastAsia="Arial" w:hAnsi="Arial" w:cs="Arial"/>
          <w:sz w:val="22"/>
          <w:szCs w:val="22"/>
          <w:highlight w:val="yellow"/>
        </w:rPr>
      </w:pPr>
      <w:r>
        <w:rPr>
          <w:rFonts w:ascii="Arial" w:eastAsia="Arial" w:hAnsi="Arial" w:cs="Arial"/>
          <w:b/>
          <w:sz w:val="22"/>
          <w:szCs w:val="22"/>
          <w:highlight w:val="white"/>
        </w:rPr>
        <w:t>Step 1: Begin engagement and support awareness.</w:t>
      </w:r>
      <w:r>
        <w:rPr>
          <w:rFonts w:ascii="Arial" w:eastAsia="Arial" w:hAnsi="Arial" w:cs="Arial"/>
          <w:sz w:val="22"/>
          <w:szCs w:val="22"/>
          <w:highlight w:val="white"/>
        </w:rPr>
        <w:t xml:space="preserve"> Engage persons who are representative of the service population and knowledgeable about the community’s needs for family planning with opportunities to help with program planning, implementation, and evaluation. Conduct activities that support clients' awareness of the availability of services and project objectives, access to project services, and retention and continual engagement in project services.</w:t>
      </w:r>
    </w:p>
    <w:p w14:paraId="4553CF25" w14:textId="77777777" w:rsidR="00815C2E" w:rsidRDefault="004505DC">
      <w:pPr>
        <w:ind w:left="720"/>
        <w:rPr>
          <w:rFonts w:ascii="Arial" w:eastAsia="Arial" w:hAnsi="Arial" w:cs="Arial"/>
          <w:sz w:val="22"/>
          <w:szCs w:val="22"/>
          <w:highlight w:val="white"/>
        </w:rPr>
      </w:pPr>
      <w:r>
        <w:rPr>
          <w:rFonts w:ascii="Arial" w:eastAsia="Arial" w:hAnsi="Arial" w:cs="Arial"/>
          <w:b/>
          <w:sz w:val="22"/>
          <w:szCs w:val="22"/>
          <w:highlight w:val="white"/>
        </w:rPr>
        <w:t xml:space="preserve">Step 2: Gather and review data. </w:t>
      </w:r>
      <w:r>
        <w:rPr>
          <w:rFonts w:ascii="Arial" w:eastAsia="Arial" w:hAnsi="Arial" w:cs="Arial"/>
          <w:sz w:val="22"/>
          <w:szCs w:val="22"/>
          <w:highlight w:val="white"/>
        </w:rPr>
        <w:t>Collect internal data, including needs assessments, FPAR data, as well as client outreach, engagement, and satisfaction data. Assess external data such as census and local and state-level data that show trends within specific demographics.</w:t>
      </w:r>
    </w:p>
    <w:p w14:paraId="3B3E87F2" w14:textId="39751DF9" w:rsidR="00815C2E" w:rsidRDefault="004505DC">
      <w:pPr>
        <w:ind w:left="720"/>
        <w:rPr>
          <w:rFonts w:ascii="Arial" w:eastAsia="Arial" w:hAnsi="Arial" w:cs="Arial"/>
          <w:sz w:val="22"/>
          <w:szCs w:val="22"/>
          <w:highlight w:val="white"/>
        </w:rPr>
      </w:pPr>
      <w:r>
        <w:rPr>
          <w:rFonts w:ascii="Arial" w:eastAsia="Arial" w:hAnsi="Arial" w:cs="Arial"/>
          <w:b/>
          <w:sz w:val="22"/>
          <w:szCs w:val="22"/>
          <w:highlight w:val="white"/>
        </w:rPr>
        <w:t>Step 3: Identify populations.</w:t>
      </w:r>
      <w:r>
        <w:rPr>
          <w:rFonts w:ascii="Arial" w:eastAsia="Arial" w:hAnsi="Arial" w:cs="Arial"/>
          <w:sz w:val="22"/>
          <w:szCs w:val="22"/>
          <w:highlight w:val="white"/>
        </w:rPr>
        <w:t xml:space="preserve"> Consider who is currently being reached by the project, who would most benefit from project services, and who knows about the community’s family planning needs.</w:t>
      </w:r>
    </w:p>
    <w:p w14:paraId="68F23005" w14:textId="233DEF8E" w:rsidR="00815C2E" w:rsidRDefault="004505DC">
      <w:pPr>
        <w:ind w:left="720"/>
        <w:rPr>
          <w:rFonts w:ascii="Arial" w:eastAsia="Arial" w:hAnsi="Arial" w:cs="Arial"/>
          <w:sz w:val="22"/>
          <w:szCs w:val="22"/>
          <w:highlight w:val="white"/>
        </w:rPr>
      </w:pPr>
      <w:r>
        <w:rPr>
          <w:rFonts w:ascii="Arial" w:eastAsia="Arial" w:hAnsi="Arial" w:cs="Arial"/>
          <w:b/>
          <w:sz w:val="22"/>
          <w:szCs w:val="22"/>
          <w:highlight w:val="white"/>
        </w:rPr>
        <w:lastRenderedPageBreak/>
        <w:t xml:space="preserve">Step 4: Develop or review CPEP plan. </w:t>
      </w:r>
      <w:r>
        <w:rPr>
          <w:rFonts w:ascii="Arial" w:eastAsia="Arial" w:hAnsi="Arial" w:cs="Arial"/>
          <w:sz w:val="22"/>
          <w:szCs w:val="22"/>
          <w:highlight w:val="white"/>
        </w:rPr>
        <w:t>Determine all objectives and identify appropriate methods of communication with clients, including through social media, in-person outreach, text messaging, etc. Remember that outreach strategies will vary depending on the audience to be engaged.</w:t>
      </w:r>
    </w:p>
    <w:p w14:paraId="2E29193E" w14:textId="77777777" w:rsidR="00815C2E" w:rsidRDefault="004505DC">
      <w:pPr>
        <w:rPr>
          <w:rFonts w:ascii="Arial" w:eastAsia="Arial" w:hAnsi="Arial" w:cs="Arial"/>
          <w:sz w:val="22"/>
          <w:szCs w:val="22"/>
          <w:highlight w:val="white"/>
        </w:rPr>
      </w:pPr>
      <w:r>
        <w:rPr>
          <w:rFonts w:ascii="Arial" w:eastAsia="Arial" w:hAnsi="Arial" w:cs="Arial"/>
          <w:sz w:val="22"/>
          <w:szCs w:val="22"/>
          <w:highlight w:val="white"/>
        </w:rPr>
        <w:t>The RHNTC’s</w:t>
      </w:r>
      <w:r>
        <w:rPr>
          <w:rFonts w:ascii="Arial" w:eastAsia="Arial" w:hAnsi="Arial" w:cs="Arial"/>
          <w:color w:val="741B47"/>
          <w:sz w:val="22"/>
          <w:szCs w:val="22"/>
          <w:highlight w:val="white"/>
        </w:rPr>
        <w:t xml:space="preserve"> </w:t>
      </w:r>
      <w:hyperlink r:id="rId13">
        <w:r>
          <w:rPr>
            <w:rFonts w:ascii="Arial" w:eastAsia="Arial" w:hAnsi="Arial" w:cs="Arial"/>
            <w:color w:val="21617C"/>
            <w:sz w:val="22"/>
            <w:szCs w:val="22"/>
            <w:highlight w:val="white"/>
            <w:u w:val="single"/>
          </w:rPr>
          <w:t>Using Virtual and Remote Outreach to Meet CPEP Requirements Job Aid</w:t>
        </w:r>
      </w:hyperlink>
      <w:r>
        <w:rPr>
          <w:rFonts w:ascii="Arial" w:eastAsia="Arial" w:hAnsi="Arial" w:cs="Arial"/>
          <w:color w:val="1172BA"/>
          <w:sz w:val="22"/>
          <w:szCs w:val="22"/>
          <w:highlight w:val="white"/>
        </w:rPr>
        <w:t xml:space="preserve"> </w:t>
      </w:r>
      <w:r>
        <w:rPr>
          <w:rFonts w:ascii="Arial" w:eastAsia="Arial" w:hAnsi="Arial" w:cs="Arial"/>
          <w:sz w:val="22"/>
          <w:szCs w:val="22"/>
          <w:highlight w:val="white"/>
        </w:rPr>
        <w:t>includes steps and virtual outreach strategies to consider.</w:t>
      </w:r>
    </w:p>
    <w:p w14:paraId="79BA28CD" w14:textId="25675C91" w:rsidR="00815C2E" w:rsidRDefault="004505DC">
      <w:pPr>
        <w:rPr>
          <w:rFonts w:ascii="Lato" w:eastAsia="Lato" w:hAnsi="Lato" w:cs="Lato"/>
          <w:sz w:val="22"/>
          <w:szCs w:val="22"/>
          <w:highlight w:val="white"/>
        </w:rPr>
      </w:pPr>
      <w:r>
        <w:rPr>
          <w:rFonts w:ascii="Arial" w:eastAsia="Arial" w:hAnsi="Arial" w:cs="Arial"/>
          <w:sz w:val="22"/>
          <w:szCs w:val="22"/>
          <w:highlight w:val="white"/>
        </w:rPr>
        <w:t>Meaningful CPEP activities strengthen the pillars of Title X services, including the three defined below:</w:t>
      </w:r>
      <w:r>
        <w:rPr>
          <w:rFonts w:ascii="Lato" w:eastAsia="Lato" w:hAnsi="Lato" w:cs="Lato"/>
          <w:sz w:val="22"/>
          <w:szCs w:val="22"/>
          <w:highlight w:val="white"/>
        </w:rPr>
        <w:t xml:space="preserve"> </w:t>
      </w:r>
    </w:p>
    <w:p w14:paraId="75BC3309" w14:textId="77777777" w:rsidR="00815C2E" w:rsidRDefault="004505DC">
      <w:pPr>
        <w:rPr>
          <w:rFonts w:ascii="Lato" w:eastAsia="Lato" w:hAnsi="Lato" w:cs="Lato"/>
          <w:sz w:val="22"/>
          <w:szCs w:val="22"/>
          <w:highlight w:val="white"/>
        </w:rPr>
      </w:pPr>
      <w:r>
        <w:rPr>
          <w:noProof/>
        </w:rPr>
        <mc:AlternateContent>
          <mc:Choice Requires="wps">
            <w:drawing>
              <wp:anchor distT="0" distB="0" distL="0" distR="0" simplePos="0" relativeHeight="251661312" behindDoc="1" locked="0" layoutInCell="1" hidden="0" allowOverlap="1" wp14:anchorId="60A471BA" wp14:editId="1B8F3C3E">
                <wp:simplePos x="0" y="0"/>
                <wp:positionH relativeFrom="column">
                  <wp:posOffset>-9525</wp:posOffset>
                </wp:positionH>
                <wp:positionV relativeFrom="paragraph">
                  <wp:posOffset>165100</wp:posOffset>
                </wp:positionV>
                <wp:extent cx="6541588" cy="2381250"/>
                <wp:effectExtent l="0" t="0" r="12065" b="19050"/>
                <wp:wrapNone/>
                <wp:docPr id="22" name="Rectangle 22"/>
                <wp:cNvGraphicFramePr/>
                <a:graphic xmlns:a="http://schemas.openxmlformats.org/drawingml/2006/main">
                  <a:graphicData uri="http://schemas.microsoft.com/office/word/2010/wordprocessingShape">
                    <wps:wsp>
                      <wps:cNvSpPr/>
                      <wps:spPr>
                        <a:xfrm>
                          <a:off x="0" y="0"/>
                          <a:ext cx="6541588" cy="2381250"/>
                        </a:xfrm>
                        <a:prstGeom prst="rect">
                          <a:avLst/>
                        </a:prstGeom>
                        <a:solidFill>
                          <a:srgbClr val="D9EDF8"/>
                        </a:solidFill>
                        <a:ln w="9525" cap="flat" cmpd="sng">
                          <a:solidFill>
                            <a:srgbClr val="DAE5F1"/>
                          </a:solidFill>
                          <a:prstDash val="solid"/>
                          <a:round/>
                          <a:headEnd type="none" w="sm" len="sm"/>
                          <a:tailEnd type="none" w="sm" len="sm"/>
                        </a:ln>
                      </wps:spPr>
                      <wps:txbx>
                        <w:txbxContent>
                          <w:p w14:paraId="56DCC78A" w14:textId="77777777" w:rsidR="00815C2E" w:rsidRDefault="00815C2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0A471BA" id="Rectangle 22" o:spid="_x0000_s1027" style="position:absolute;margin-left:-.75pt;margin-top:13pt;width:515.1pt;height:187.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" fillcolor="#d9edf8" strokecolor="#dae5f1">
                <v:stroke startarrowwidth="narrow" startarrowlength="short" endarrowwidth="narrow" endarrowlength="short" joinstyle="round"/>
                <v:textbox inset="2.53958mm,2.53958mm,2.53958mm,2.53958mm">
                  <w:txbxContent>
                    <w:p w14:paraId="56DCC78A" w14:textId="77777777" w:rsidR="00815C2E" w:rsidRDefault="00815C2E">
                      <w:pPr>
                        <w:spacing w:after="0" w:line="240" w:lineRule="auto"/>
                        <w:textDirection w:val="btLr"/>
                      </w:pPr>
                    </w:p>
                  </w:txbxContent>
                </v:textbox>
              </v:rect>
            </w:pict>
          </mc:Fallback>
        </mc:AlternateContent>
      </w:r>
    </w:p>
    <w:p w14:paraId="4FFED622" w14:textId="77777777" w:rsidR="00815C2E" w:rsidRDefault="004505DC">
      <w:pPr>
        <w:ind w:left="720"/>
        <w:rPr>
          <w:rFonts w:ascii="Arial" w:eastAsia="Arial" w:hAnsi="Arial" w:cs="Arial"/>
          <w:color w:val="000000"/>
          <w:sz w:val="22"/>
          <w:szCs w:val="22"/>
        </w:rPr>
      </w:pPr>
      <w:r>
        <w:rPr>
          <w:rFonts w:ascii="Arial" w:eastAsia="Arial" w:hAnsi="Arial" w:cs="Arial"/>
          <w:b/>
          <w:color w:val="000000"/>
          <w:sz w:val="22"/>
          <w:szCs w:val="22"/>
        </w:rPr>
        <w:t>Health equity</w:t>
      </w:r>
      <w:r>
        <w:rPr>
          <w:rFonts w:ascii="Arial" w:eastAsia="Arial" w:hAnsi="Arial" w:cs="Arial"/>
          <w:color w:val="000000"/>
          <w:sz w:val="22"/>
          <w:szCs w:val="22"/>
        </w:rPr>
        <w:t xml:space="preserve"> is when all persons have the opportunity to attain their full health potential and no one is disadvantaged from achieving this potential because of social position or other socially determined circumstances (CFR). </w:t>
      </w:r>
    </w:p>
    <w:p w14:paraId="7E69A58C" w14:textId="75B3616E" w:rsidR="00815C2E" w:rsidRDefault="004505DC">
      <w:pPr>
        <w:ind w:left="720"/>
        <w:rPr>
          <w:rFonts w:ascii="Arial" w:eastAsia="Arial" w:hAnsi="Arial" w:cs="Arial"/>
          <w:color w:val="000000"/>
          <w:sz w:val="22"/>
          <w:szCs w:val="22"/>
        </w:rPr>
      </w:pPr>
      <w:r>
        <w:rPr>
          <w:rFonts w:ascii="Arial" w:eastAsia="Arial" w:hAnsi="Arial" w:cs="Arial"/>
          <w:b/>
          <w:color w:val="000000"/>
          <w:sz w:val="22"/>
          <w:szCs w:val="22"/>
        </w:rPr>
        <w:t>Inclusion</w:t>
      </w:r>
      <w:r>
        <w:rPr>
          <w:rFonts w:ascii="Arial" w:eastAsia="Arial" w:hAnsi="Arial" w:cs="Arial"/>
          <w:color w:val="000000"/>
          <w:sz w:val="22"/>
          <w:szCs w:val="22"/>
        </w:rPr>
        <w:t xml:space="preserve"> is when all people are fully included and can actively participate in and benefit from family planning (CFR).</w:t>
      </w:r>
    </w:p>
    <w:p w14:paraId="3600EBD6" w14:textId="77777777" w:rsidR="00815C2E" w:rsidRDefault="004505DC">
      <w:pPr>
        <w:ind w:left="720"/>
        <w:rPr>
          <w:rFonts w:ascii="Lato" w:eastAsia="Lato" w:hAnsi="Lato" w:cs="Lato"/>
          <w:color w:val="000000"/>
          <w:sz w:val="22"/>
          <w:szCs w:val="22"/>
        </w:rPr>
      </w:pPr>
      <w:r>
        <w:rPr>
          <w:rFonts w:ascii="Arial" w:eastAsia="Arial" w:hAnsi="Arial" w:cs="Arial"/>
          <w:color w:val="000000"/>
          <w:sz w:val="22"/>
          <w:szCs w:val="22"/>
        </w:rPr>
        <w:t>A program, organization or system that is</w:t>
      </w:r>
      <w:r>
        <w:rPr>
          <w:rFonts w:ascii="Arial" w:eastAsia="Arial" w:hAnsi="Arial" w:cs="Arial"/>
          <w:b/>
          <w:color w:val="000000"/>
          <w:sz w:val="22"/>
          <w:szCs w:val="22"/>
        </w:rPr>
        <w:t xml:space="preserve"> trauma-Informed</w:t>
      </w:r>
      <w:r>
        <w:rPr>
          <w:rFonts w:ascii="Arial" w:eastAsia="Arial" w:hAnsi="Arial" w:cs="Arial"/>
          <w:color w:val="000000"/>
          <w:sz w:val="22"/>
          <w:szCs w:val="22"/>
        </w:rPr>
        <w:t xml:space="preserve"> realizes the widespread impact of trauma and understands potential paths for recovery; recognizes the signs and symptoms of trauma in clients, families, staff, and others involved with the system; and responds by fully integrating knowledge about trauma into policies, procedures, and practices, and seeks to actively resist re-traumatization (CFR).</w:t>
      </w:r>
    </w:p>
    <w:p w14:paraId="5C6453DF" w14:textId="77777777" w:rsidR="00815C2E" w:rsidRDefault="00815C2E">
      <w:pPr>
        <w:rPr>
          <w:rFonts w:ascii="Lato" w:eastAsia="Lato" w:hAnsi="Lato" w:cs="Lato"/>
          <w:b/>
          <w:color w:val="3C4043"/>
          <w:sz w:val="22"/>
          <w:szCs w:val="22"/>
          <w:highlight w:val="white"/>
        </w:rPr>
      </w:pPr>
    </w:p>
    <w:p w14:paraId="0FF277C5" w14:textId="77777777" w:rsidR="00815C2E" w:rsidRDefault="004505DC">
      <w:pPr>
        <w:rPr>
          <w:rFonts w:ascii="Lato" w:eastAsia="Lato" w:hAnsi="Lato" w:cs="Lato"/>
          <w:b/>
          <w:color w:val="3C4043"/>
          <w:sz w:val="22"/>
          <w:szCs w:val="22"/>
          <w:highlight w:val="white"/>
        </w:rPr>
      </w:pPr>
      <w:r>
        <w:rPr>
          <w:rFonts w:ascii="Arial" w:eastAsia="Arial" w:hAnsi="Arial" w:cs="Arial"/>
          <w:b/>
          <w:color w:val="21617C"/>
          <w:sz w:val="28"/>
          <w:szCs w:val="28"/>
        </w:rPr>
        <w:t>Examples of CPEP Activities</w:t>
      </w:r>
      <w:r>
        <w:rPr>
          <w:rFonts w:ascii="Arial" w:eastAsia="Arial" w:hAnsi="Arial" w:cs="Arial"/>
          <w:b/>
          <w:color w:val="21617C"/>
          <w:sz w:val="36"/>
          <w:szCs w:val="36"/>
        </w:rPr>
        <w:t xml:space="preserve"> </w:t>
      </w:r>
      <w:r>
        <w:rPr>
          <w:rFonts w:ascii="Arial" w:eastAsia="Arial" w:hAnsi="Arial" w:cs="Arial"/>
          <w:b/>
          <w:color w:val="4F81BD"/>
          <w:sz w:val="36"/>
          <w:szCs w:val="36"/>
        </w:rPr>
        <w:br/>
      </w:r>
      <w:r>
        <w:rPr>
          <w:rFonts w:ascii="Arial" w:eastAsia="Arial" w:hAnsi="Arial" w:cs="Arial"/>
          <w:sz w:val="22"/>
          <w:szCs w:val="22"/>
        </w:rPr>
        <w:t xml:space="preserve">There are many types of activities that Title X agencies can incorporate into their CPEP plans. Title X agencies should identify activities that apply to their specific objectives, settings, and communities. When selecting CPEP activities, it can be helpful to start with determining what resources are already available in the community and conduct activities that build upon an agency’s current efforts.   </w:t>
      </w:r>
    </w:p>
    <w:p w14:paraId="63E9674D" w14:textId="37B46DE0" w:rsidR="00815C2E" w:rsidRDefault="004505DC">
      <w:pPr>
        <w:rPr>
          <w:rFonts w:ascii="Arial" w:eastAsia="Arial" w:hAnsi="Arial" w:cs="Arial"/>
          <w:sz w:val="22"/>
          <w:szCs w:val="22"/>
        </w:rPr>
      </w:pPr>
      <w:r>
        <w:rPr>
          <w:rFonts w:ascii="Arial" w:eastAsia="Arial" w:hAnsi="Arial" w:cs="Arial"/>
          <w:sz w:val="22"/>
          <w:szCs w:val="22"/>
        </w:rPr>
        <w:t xml:space="preserve">Within each of the CPEP-related “who to reach” categories in the table below, family planning agencies should consider strategies specific to the demographic groups, such as youth, clients in rural areas, and other populations, that they serve. Community partners may include mental health and primary care providers, shelters, prisons, faith-based organizations, school personnel, parent groups, social service agencies, food pantries, and other community organizations. The activities in the box below are for in-person engagement. </w:t>
      </w:r>
    </w:p>
    <w:p w14:paraId="1FE7E9C4" w14:textId="1EFFD14F" w:rsidR="008C2E0F" w:rsidRDefault="008C2E0F">
      <w:pPr>
        <w:rPr>
          <w:rFonts w:ascii="Arial" w:eastAsia="Arial" w:hAnsi="Arial" w:cs="Arial"/>
          <w:sz w:val="22"/>
          <w:szCs w:val="22"/>
        </w:rPr>
      </w:pPr>
    </w:p>
    <w:p w14:paraId="570D73A7" w14:textId="3A1AB119" w:rsidR="008C2E0F" w:rsidRDefault="008C2E0F">
      <w:pPr>
        <w:rPr>
          <w:rFonts w:ascii="Arial" w:eastAsia="Arial" w:hAnsi="Arial" w:cs="Arial"/>
          <w:sz w:val="22"/>
          <w:szCs w:val="22"/>
        </w:rPr>
      </w:pPr>
    </w:p>
    <w:p w14:paraId="2D08E759" w14:textId="499FFDF3" w:rsidR="008C2E0F" w:rsidRDefault="008C2E0F">
      <w:pPr>
        <w:rPr>
          <w:rFonts w:ascii="Arial" w:eastAsia="Arial" w:hAnsi="Arial" w:cs="Arial"/>
          <w:sz w:val="22"/>
          <w:szCs w:val="22"/>
        </w:rPr>
      </w:pPr>
    </w:p>
    <w:p w14:paraId="2A68AF3E" w14:textId="77777777" w:rsidR="003A6C8B" w:rsidRDefault="003A6C8B" w:rsidP="003A6C8B">
      <w:pPr>
        <w:rPr>
          <w:rFonts w:ascii="Arial" w:eastAsia="Arial" w:hAnsi="Arial" w:cs="Arial"/>
          <w:sz w:val="22"/>
          <w:szCs w:val="22"/>
        </w:rPr>
      </w:pPr>
    </w:p>
    <w:p w14:paraId="5F5E596D" w14:textId="77777777" w:rsidR="003A6C8B" w:rsidRDefault="003A6C8B" w:rsidP="003A6C8B">
      <w:pPr>
        <w:rPr>
          <w:rFonts w:ascii="Arial" w:eastAsia="Arial" w:hAnsi="Arial" w:cs="Arial"/>
          <w:sz w:val="22"/>
          <w:szCs w:val="22"/>
        </w:rPr>
      </w:pPr>
    </w:p>
    <w:p w14:paraId="115E699C" w14:textId="0D17A695" w:rsidR="003A6C8B" w:rsidRPr="003A6C8B" w:rsidRDefault="003A6C8B" w:rsidP="003A6C8B">
      <w:pPr>
        <w:rPr>
          <w:rFonts w:ascii="Arial" w:eastAsia="Arial" w:hAnsi="Arial" w:cs="Arial"/>
          <w:b/>
          <w:bCs/>
        </w:rPr>
      </w:pPr>
      <w:r w:rsidRPr="003A6C8B">
        <w:rPr>
          <w:rFonts w:ascii="Arial" w:eastAsia="Arial" w:hAnsi="Arial" w:cs="Arial"/>
          <w:b/>
          <w:bCs/>
        </w:rPr>
        <w:lastRenderedPageBreak/>
        <w:t>CPEP Objectives</w:t>
      </w:r>
    </w:p>
    <w:p w14:paraId="19DE2B19" w14:textId="6E063819" w:rsidR="008C2E0F" w:rsidRDefault="003A6C8B" w:rsidP="003A6C8B">
      <w:pPr>
        <w:rPr>
          <w:rFonts w:ascii="Arial" w:eastAsia="Arial" w:hAnsi="Arial" w:cs="Arial"/>
          <w:sz w:val="22"/>
          <w:szCs w:val="22"/>
        </w:rPr>
      </w:pPr>
      <w:r w:rsidRPr="003A6C8B">
        <w:rPr>
          <w:rFonts w:ascii="Arial" w:eastAsia="Arial" w:hAnsi="Arial" w:cs="Arial"/>
          <w:sz w:val="22"/>
          <w:szCs w:val="22"/>
        </w:rPr>
        <w:t>These objectives are interrelated with the activities designed to build off one another. This table presents specific activities that will support family planning agencies to meet the CPEP objectives.</w:t>
      </w:r>
    </w:p>
    <w:tbl>
      <w:tblPr>
        <w:tblStyle w:val="a7"/>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255"/>
        <w:gridCol w:w="3060"/>
        <w:gridCol w:w="3060"/>
        <w:gridCol w:w="3060"/>
      </w:tblGrid>
      <w:tr w:rsidR="00815C2E" w14:paraId="3CE86DDD" w14:textId="77777777" w:rsidTr="003A6C8B">
        <w:trPr>
          <w:trHeight w:val="1695"/>
        </w:trPr>
        <w:tc>
          <w:tcPr>
            <w:tcW w:w="1255"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47AD73F3" w14:textId="77777777" w:rsidR="00815C2E" w:rsidRDefault="004505DC">
            <w:pPr>
              <w:widowControl w:val="0"/>
              <w:rPr>
                <w:rFonts w:ascii="Arial" w:eastAsia="Arial" w:hAnsi="Arial" w:cs="Arial"/>
                <w:b/>
                <w:color w:val="000000"/>
                <w:sz w:val="22"/>
                <w:szCs w:val="22"/>
              </w:rPr>
            </w:pPr>
            <w:r>
              <w:rPr>
                <w:rFonts w:ascii="Arial" w:eastAsia="Arial" w:hAnsi="Arial" w:cs="Arial"/>
                <w:b/>
                <w:color w:val="000000"/>
                <w:sz w:val="22"/>
                <w:szCs w:val="22"/>
              </w:rPr>
              <w:t>Who to Reach</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64460917" w14:textId="77777777" w:rsidR="00815C2E" w:rsidRDefault="004505DC">
            <w:pPr>
              <w:widowControl w:val="0"/>
              <w:rPr>
                <w:rFonts w:ascii="Arial" w:eastAsia="Arial" w:hAnsi="Arial" w:cs="Arial"/>
                <w:color w:val="000000"/>
                <w:sz w:val="22"/>
                <w:szCs w:val="22"/>
                <w:u w:val="single"/>
              </w:rPr>
            </w:pPr>
            <w:r>
              <w:rPr>
                <w:rFonts w:ascii="Arial" w:eastAsia="Arial" w:hAnsi="Arial" w:cs="Arial"/>
                <w:color w:val="000000"/>
                <w:sz w:val="22"/>
                <w:szCs w:val="22"/>
              </w:rPr>
              <w:t xml:space="preserve">Provide opportunities for participation in </w:t>
            </w:r>
            <w:r>
              <w:rPr>
                <w:rFonts w:ascii="Arial" w:eastAsia="Arial" w:hAnsi="Arial" w:cs="Arial"/>
                <w:color w:val="000000"/>
                <w:sz w:val="22"/>
                <w:szCs w:val="22"/>
                <w:u w:val="single"/>
              </w:rPr>
              <w:t>project planning, implementation, and evaluation</w:t>
            </w:r>
            <w:r>
              <w:rPr>
                <w:rFonts w:ascii="Arial" w:eastAsia="Arial" w:hAnsi="Arial" w:cs="Arial"/>
                <w:color w:val="000000"/>
                <w:sz w:val="22"/>
                <w:szCs w:val="22"/>
                <w:u w:val="single"/>
              </w:rPr>
              <w:br/>
            </w:r>
            <w:r>
              <w:rPr>
                <w:rFonts w:ascii="Arial" w:eastAsia="Arial" w:hAnsi="Arial" w:cs="Arial"/>
                <w:i/>
                <w:color w:val="000000"/>
                <w:sz w:val="22"/>
                <w:szCs w:val="22"/>
              </w:rPr>
              <w:t>42 CFR 59.5(b)(10)</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6DD7B30F" w14:textId="77777777" w:rsidR="00815C2E" w:rsidRDefault="004505DC">
            <w:pPr>
              <w:widowControl w:val="0"/>
              <w:rPr>
                <w:rFonts w:ascii="Arial" w:eastAsia="Arial" w:hAnsi="Arial" w:cs="Arial"/>
                <w:color w:val="000000"/>
                <w:sz w:val="22"/>
                <w:szCs w:val="22"/>
              </w:rPr>
            </w:pPr>
            <w:r>
              <w:rPr>
                <w:rFonts w:ascii="Arial" w:eastAsia="Arial" w:hAnsi="Arial" w:cs="Arial"/>
                <w:color w:val="000000"/>
                <w:sz w:val="22"/>
                <w:szCs w:val="22"/>
              </w:rPr>
              <w:t xml:space="preserve">Achieve </w:t>
            </w:r>
            <w:r>
              <w:rPr>
                <w:rFonts w:ascii="Arial" w:eastAsia="Arial" w:hAnsi="Arial" w:cs="Arial"/>
                <w:color w:val="000000"/>
                <w:sz w:val="22"/>
                <w:szCs w:val="22"/>
                <w:u w:val="single"/>
              </w:rPr>
              <w:t>community understanding</w:t>
            </w:r>
            <w:r>
              <w:rPr>
                <w:rFonts w:ascii="Arial" w:eastAsia="Arial" w:hAnsi="Arial" w:cs="Arial"/>
                <w:color w:val="000000"/>
                <w:sz w:val="22"/>
                <w:szCs w:val="22"/>
              </w:rPr>
              <w:t xml:space="preserve"> of program objectives and the availability of services </w:t>
            </w:r>
            <w:r>
              <w:rPr>
                <w:rFonts w:ascii="Arial" w:eastAsia="Arial" w:hAnsi="Arial" w:cs="Arial"/>
                <w:color w:val="000000"/>
                <w:sz w:val="22"/>
                <w:szCs w:val="22"/>
              </w:rPr>
              <w:br/>
            </w:r>
            <w:r>
              <w:rPr>
                <w:rFonts w:ascii="Arial" w:eastAsia="Arial" w:hAnsi="Arial" w:cs="Arial"/>
                <w:i/>
                <w:color w:val="000000"/>
                <w:sz w:val="22"/>
                <w:szCs w:val="22"/>
              </w:rPr>
              <w:t>42 CFR 59.5(b)(3)(i-ii)</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06FD4262" w14:textId="4803BA7B" w:rsidR="00815C2E" w:rsidRDefault="004505DC">
            <w:pPr>
              <w:widowControl w:val="0"/>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Support </w:t>
            </w:r>
            <w:r>
              <w:rPr>
                <w:rFonts w:ascii="Arial" w:eastAsia="Arial" w:hAnsi="Arial" w:cs="Arial"/>
                <w:color w:val="000000"/>
                <w:sz w:val="22"/>
                <w:szCs w:val="22"/>
                <w:u w:val="single"/>
              </w:rPr>
              <w:t>continued participation of diverse persons</w:t>
            </w:r>
            <w:r>
              <w:rPr>
                <w:rFonts w:ascii="Arial" w:eastAsia="Arial" w:hAnsi="Arial" w:cs="Arial"/>
                <w:color w:val="000000"/>
                <w:sz w:val="22"/>
                <w:szCs w:val="22"/>
              </w:rPr>
              <w:t xml:space="preserve"> in client-centered, quality family planning services</w:t>
            </w:r>
            <w:r>
              <w:rPr>
                <w:rFonts w:ascii="Arial" w:eastAsia="Arial" w:hAnsi="Arial" w:cs="Arial"/>
                <w:color w:val="000000"/>
                <w:sz w:val="22"/>
                <w:szCs w:val="22"/>
              </w:rPr>
              <w:br/>
            </w:r>
            <w:r>
              <w:rPr>
                <w:rFonts w:ascii="Arial" w:eastAsia="Arial" w:hAnsi="Arial" w:cs="Arial"/>
                <w:i/>
                <w:color w:val="000000"/>
                <w:sz w:val="22"/>
                <w:szCs w:val="22"/>
              </w:rPr>
              <w:t>42 CFR 59.5(b)(3)(iii)</w:t>
            </w:r>
          </w:p>
        </w:tc>
      </w:tr>
      <w:tr w:rsidR="00815C2E" w14:paraId="1D54CAD6" w14:textId="77777777" w:rsidTr="003A6C8B">
        <w:trPr>
          <w:trHeight w:val="600"/>
        </w:trPr>
        <w:tc>
          <w:tcPr>
            <w:tcW w:w="1255"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3BCB7CF8" w14:textId="77777777" w:rsidR="00815C2E" w:rsidRDefault="004505DC">
            <w:pPr>
              <w:widowControl w:val="0"/>
              <w:rPr>
                <w:rFonts w:ascii="Arial" w:eastAsia="Arial" w:hAnsi="Arial" w:cs="Arial"/>
                <w:b/>
                <w:sz w:val="22"/>
                <w:szCs w:val="22"/>
              </w:rPr>
            </w:pPr>
            <w:r>
              <w:rPr>
                <w:rFonts w:ascii="Arial" w:eastAsia="Arial" w:hAnsi="Arial" w:cs="Arial"/>
                <w:b/>
                <w:sz w:val="22"/>
                <w:szCs w:val="22"/>
              </w:rPr>
              <w:t>Clients</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08860D17"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Conduct interviews or focus groups with clients to inform services</w:t>
            </w:r>
          </w:p>
          <w:p w14:paraId="19B0DA6A"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Collect satisfaction and patient experience surveys and feedback forms from clients through the website, telephone, social media, or other platforms, to inform program planning and implementation</w:t>
            </w:r>
          </w:p>
          <w:p w14:paraId="30B7CAAF"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 xml:space="preserve">Increase </w:t>
            </w:r>
            <w:hyperlink r:id="rId14">
              <w:r>
                <w:rPr>
                  <w:rFonts w:ascii="Arial" w:eastAsia="Arial" w:hAnsi="Arial" w:cs="Arial"/>
                  <w:sz w:val="22"/>
                  <w:szCs w:val="22"/>
                  <w:u w:val="single"/>
                </w:rPr>
                <w:t>patient experience</w:t>
              </w:r>
            </w:hyperlink>
            <w:r>
              <w:rPr>
                <w:rFonts w:ascii="Arial" w:eastAsia="Arial" w:hAnsi="Arial" w:cs="Arial"/>
                <w:sz w:val="22"/>
                <w:szCs w:val="22"/>
              </w:rPr>
              <w:t xml:space="preserve"> and retention while considering staff time and financial constraints</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15E75B91"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Develop informational sheets with the purpose of the organization, program services, hours, and eligibility</w:t>
            </w:r>
          </w:p>
          <w:p w14:paraId="67B081CC"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Promote your organization and services on project materials</w:t>
            </w:r>
          </w:p>
          <w:p w14:paraId="79704AD2"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 xml:space="preserve">Develop a </w:t>
            </w:r>
            <w:r>
              <w:rPr>
                <w:rFonts w:ascii="Arial" w:eastAsia="Arial" w:hAnsi="Arial" w:cs="Arial"/>
                <w:i/>
                <w:sz w:val="22"/>
                <w:szCs w:val="22"/>
              </w:rPr>
              <w:t>Frequently Asked Questions</w:t>
            </w:r>
            <w:r>
              <w:rPr>
                <w:rFonts w:ascii="Arial" w:eastAsia="Arial" w:hAnsi="Arial" w:cs="Arial"/>
                <w:sz w:val="22"/>
                <w:szCs w:val="22"/>
              </w:rPr>
              <w:t xml:space="preserve"> document/website page for clients</w:t>
            </w:r>
          </w:p>
          <w:p w14:paraId="63F340B7"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Review and revise CPEP plan</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06069203" w14:textId="77777777" w:rsidR="00815C2E" w:rsidRDefault="004505DC">
            <w:pPr>
              <w:widowControl w:val="0"/>
              <w:numPr>
                <w:ilvl w:val="0"/>
                <w:numId w:val="1"/>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Conduct needs </w:t>
            </w:r>
            <w:r>
              <w:t xml:space="preserve">     </w:t>
            </w:r>
            <w:r>
              <w:rPr>
                <w:rFonts w:ascii="Arial" w:eastAsia="Arial" w:hAnsi="Arial" w:cs="Arial"/>
                <w:color w:val="000000"/>
                <w:sz w:val="22"/>
                <w:szCs w:val="22"/>
              </w:rPr>
              <w:t>assessments and focus groups with current and</w:t>
            </w:r>
            <w:r>
              <w:rPr>
                <w:rFonts w:ascii="Arial" w:eastAsia="Arial" w:hAnsi="Arial" w:cs="Arial"/>
                <w:sz w:val="22"/>
                <w:szCs w:val="22"/>
              </w:rPr>
              <w:t xml:space="preserve">/or former clients </w:t>
            </w:r>
            <w:r>
              <w:rPr>
                <w:rFonts w:ascii="Arial" w:eastAsia="Arial" w:hAnsi="Arial" w:cs="Arial"/>
                <w:color w:val="000000"/>
                <w:sz w:val="22"/>
                <w:szCs w:val="22"/>
              </w:rPr>
              <w:t xml:space="preserve">to identify </w:t>
            </w:r>
            <w:r>
              <w:rPr>
                <w:rFonts w:ascii="Arial" w:eastAsia="Arial" w:hAnsi="Arial" w:cs="Arial"/>
                <w:sz w:val="22"/>
                <w:szCs w:val="22"/>
              </w:rPr>
              <w:t xml:space="preserve">barriers to access, retention, and needs </w:t>
            </w:r>
            <w:r>
              <w:rPr>
                <w:rFonts w:ascii="Arial" w:eastAsia="Arial" w:hAnsi="Arial" w:cs="Arial"/>
                <w:color w:val="000000"/>
                <w:sz w:val="22"/>
                <w:szCs w:val="22"/>
              </w:rPr>
              <w:t xml:space="preserve">within your service area </w:t>
            </w:r>
            <w:r>
              <w:rPr>
                <w:rFonts w:ascii="Arial" w:eastAsia="Arial" w:hAnsi="Arial" w:cs="Arial"/>
                <w:color w:val="000000"/>
                <w:sz w:val="22"/>
                <w:szCs w:val="22"/>
              </w:rPr>
              <w:br/>
            </w:r>
          </w:p>
          <w:p w14:paraId="451C3549" w14:textId="77777777" w:rsidR="00815C2E" w:rsidRDefault="004505DC">
            <w:pPr>
              <w:widowControl w:val="0"/>
              <w:numPr>
                <w:ilvl w:val="0"/>
                <w:numId w:val="1"/>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Hold client appreciation events with trivia, prizes, and other activities</w:t>
            </w:r>
            <w:r>
              <w:rPr>
                <w:rFonts w:ascii="Arial" w:eastAsia="Arial" w:hAnsi="Arial" w:cs="Arial"/>
                <w:color w:val="000000"/>
                <w:sz w:val="22"/>
                <w:szCs w:val="22"/>
              </w:rPr>
              <w:br/>
            </w:r>
          </w:p>
          <w:p w14:paraId="66351433" w14:textId="77777777" w:rsidR="00815C2E" w:rsidRDefault="004505DC">
            <w:pPr>
              <w:widowControl w:val="0"/>
              <w:numPr>
                <w:ilvl w:val="0"/>
                <w:numId w:val="1"/>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Conduct outreach and clinical services via mobile units, at such locations as schools, parks, churches, etc. </w:t>
            </w:r>
          </w:p>
        </w:tc>
      </w:tr>
      <w:tr w:rsidR="00815C2E" w14:paraId="5F34CDFC" w14:textId="77777777" w:rsidTr="003A6C8B">
        <w:trPr>
          <w:trHeight w:val="920"/>
        </w:trPr>
        <w:tc>
          <w:tcPr>
            <w:tcW w:w="1255"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58F63335" w14:textId="77777777" w:rsidR="00815C2E" w:rsidRDefault="004505DC">
            <w:pPr>
              <w:widowControl w:val="0"/>
              <w:rPr>
                <w:rFonts w:ascii="Arial" w:eastAsia="Arial" w:hAnsi="Arial" w:cs="Arial"/>
                <w:b/>
                <w:sz w:val="22"/>
                <w:szCs w:val="22"/>
              </w:rPr>
            </w:pPr>
            <w:r>
              <w:rPr>
                <w:rFonts w:ascii="Arial" w:eastAsia="Arial" w:hAnsi="Arial" w:cs="Arial"/>
                <w:b/>
                <w:sz w:val="22"/>
                <w:szCs w:val="22"/>
              </w:rPr>
              <w:t>Potential Clients</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78174C52"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Conduct routine community needs assessments with community members</w:t>
            </w:r>
          </w:p>
          <w:p w14:paraId="30D7DE5A"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Develop mechanisms for obtaining feedback from community members on agency Title X services and materials</w:t>
            </w:r>
          </w:p>
          <w:p w14:paraId="6479E036" w14:textId="77777777" w:rsidR="00815C2E" w:rsidRDefault="00815C2E">
            <w:pPr>
              <w:widowControl w:val="0"/>
              <w:ind w:left="360"/>
              <w:rPr>
                <w:rFonts w:ascii="Arial" w:eastAsia="Arial" w:hAnsi="Arial" w:cs="Arial"/>
                <w:sz w:val="22"/>
                <w:szCs w:val="22"/>
              </w:rPr>
            </w:pPr>
          </w:p>
          <w:p w14:paraId="329B5654"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Develop community, youth, and/or patient advisory committees to engage and inform these groups</w:t>
            </w:r>
          </w:p>
          <w:p w14:paraId="0C4B9EC6"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Have a tracking system in place to measure the impact of the project promotion plan</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4C16C5A1"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lastRenderedPageBreak/>
              <w:t>Post and distribute up-to-date program information at a range of community venues</w:t>
            </w:r>
          </w:p>
          <w:p w14:paraId="20A89811"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Develop relationships with agencies and businesses that engage your potential clients</w:t>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p>
          <w:p w14:paraId="7EDE9133"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 xml:space="preserve">Conduct community events that provide mini-presentations about family planning topics, such as infertility, etc. </w:t>
            </w:r>
          </w:p>
          <w:p w14:paraId="3B75473E"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Develop client testimonial videos and presentations</w:t>
            </w:r>
          </w:p>
        </w:tc>
        <w:tc>
          <w:tcPr>
            <w:tcW w:w="3060" w:type="dxa"/>
            <w:tcBorders>
              <w:top w:val="single" w:sz="4" w:space="0" w:color="000000"/>
              <w:left w:val="single" w:sz="4" w:space="0" w:color="000000"/>
              <w:bottom w:val="single" w:sz="4" w:space="0" w:color="000000"/>
              <w:right w:val="single" w:sz="4" w:space="0" w:color="000000"/>
            </w:tcBorders>
            <w:shd w:val="clear" w:color="auto" w:fill="D9EDF8"/>
            <w:tcMar>
              <w:top w:w="140" w:type="dxa"/>
              <w:left w:w="140" w:type="dxa"/>
              <w:bottom w:w="140" w:type="dxa"/>
              <w:right w:w="140" w:type="dxa"/>
            </w:tcMar>
          </w:tcPr>
          <w:p w14:paraId="1D3AD6CA" w14:textId="77777777" w:rsidR="00815C2E" w:rsidRDefault="004505DC">
            <w:pPr>
              <w:widowControl w:val="0"/>
              <w:numPr>
                <w:ilvl w:val="0"/>
                <w:numId w:val="1"/>
              </w:numPr>
              <w:rPr>
                <w:rFonts w:ascii="Arial" w:eastAsia="Arial" w:hAnsi="Arial" w:cs="Arial"/>
                <w:sz w:val="22"/>
                <w:szCs w:val="22"/>
              </w:rPr>
            </w:pPr>
            <w:r>
              <w:rPr>
                <w:rFonts w:ascii="Arial" w:eastAsia="Arial" w:hAnsi="Arial" w:cs="Arial"/>
                <w:sz w:val="22"/>
                <w:szCs w:val="22"/>
              </w:rPr>
              <w:lastRenderedPageBreak/>
              <w:t>Provide clients with program information to share with peers</w:t>
            </w:r>
          </w:p>
          <w:p w14:paraId="754EBEDF" w14:textId="77777777" w:rsidR="00815C2E" w:rsidRDefault="004505DC">
            <w:pPr>
              <w:widowControl w:val="0"/>
              <w:numPr>
                <w:ilvl w:val="0"/>
                <w:numId w:val="1"/>
              </w:numPr>
              <w:rPr>
                <w:rFonts w:ascii="Arial" w:eastAsia="Arial" w:hAnsi="Arial" w:cs="Arial"/>
                <w:sz w:val="22"/>
                <w:szCs w:val="22"/>
              </w:rPr>
            </w:pPr>
            <w:r>
              <w:rPr>
                <w:rFonts w:ascii="Arial" w:eastAsia="Arial" w:hAnsi="Arial" w:cs="Arial"/>
                <w:sz w:val="22"/>
                <w:szCs w:val="22"/>
              </w:rPr>
              <w:t>Conduct clinic tours and meet and greets with potential clients</w:t>
            </w:r>
          </w:p>
          <w:p w14:paraId="68FD79C1" w14:textId="77777777" w:rsidR="00815C2E" w:rsidRDefault="004505DC">
            <w:pPr>
              <w:widowControl w:val="0"/>
              <w:numPr>
                <w:ilvl w:val="0"/>
                <w:numId w:val="1"/>
              </w:numPr>
              <w:rPr>
                <w:rFonts w:ascii="Arial" w:eastAsia="Arial" w:hAnsi="Arial" w:cs="Arial"/>
                <w:sz w:val="22"/>
                <w:szCs w:val="22"/>
              </w:rPr>
            </w:pPr>
            <w:r>
              <w:rPr>
                <w:rFonts w:ascii="Arial" w:eastAsia="Arial" w:hAnsi="Arial" w:cs="Arial"/>
                <w:sz w:val="22"/>
                <w:szCs w:val="22"/>
              </w:rPr>
              <w:t xml:space="preserve">Conduct focus groups and interviews with potential clients to identify barriers to </w:t>
            </w:r>
            <w:r>
              <w:rPr>
                <w:rFonts w:ascii="Arial" w:eastAsia="Arial" w:hAnsi="Arial" w:cs="Arial"/>
                <w:sz w:val="22"/>
                <w:szCs w:val="22"/>
              </w:rPr>
              <w:lastRenderedPageBreak/>
              <w:t>access and retention in services</w:t>
            </w:r>
          </w:p>
        </w:tc>
      </w:tr>
      <w:tr w:rsidR="00815C2E" w14:paraId="2EA80481" w14:textId="77777777" w:rsidTr="003A6C8B">
        <w:trPr>
          <w:trHeight w:val="600"/>
        </w:trPr>
        <w:tc>
          <w:tcPr>
            <w:tcW w:w="1255"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07CF1378" w14:textId="77777777" w:rsidR="00815C2E" w:rsidRDefault="004505DC">
            <w:pPr>
              <w:widowControl w:val="0"/>
              <w:rPr>
                <w:rFonts w:ascii="Arial" w:eastAsia="Arial" w:hAnsi="Arial" w:cs="Arial"/>
                <w:b/>
                <w:sz w:val="22"/>
                <w:szCs w:val="22"/>
              </w:rPr>
            </w:pPr>
            <w:r>
              <w:rPr>
                <w:rFonts w:ascii="Arial" w:eastAsia="Arial" w:hAnsi="Arial" w:cs="Arial"/>
                <w:b/>
                <w:sz w:val="22"/>
                <w:szCs w:val="22"/>
              </w:rPr>
              <w:lastRenderedPageBreak/>
              <w:t>Partners</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2E2A8AAF"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Conduct joint community needs assessments with community partners where service areas overlap</w:t>
            </w:r>
          </w:p>
          <w:p w14:paraId="311715DF"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 xml:space="preserve">Conduct a survey with community partners about what their needs and services are, and where there might be opportunities for collaboration </w:t>
            </w:r>
          </w:p>
          <w:p w14:paraId="5DAECBA0"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Co-host drop-in office hours with current and potential partners to answer questions about services, technology needs, and other access-related issues</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15C69B22"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Share program brochures, informational sheets, and fliers with partners to provide to their clients</w:t>
            </w:r>
          </w:p>
          <w:p w14:paraId="7F3A314D"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Join other agencies’ advisory committees and task forces to ensure mutually beneficial and coordinated relationships</w:t>
            </w:r>
          </w:p>
          <w:p w14:paraId="768261E3" w14:textId="77777777" w:rsidR="00815C2E" w:rsidRDefault="004505DC">
            <w:pPr>
              <w:widowControl w:val="0"/>
              <w:numPr>
                <w:ilvl w:val="0"/>
                <w:numId w:val="4"/>
              </w:numPr>
              <w:rPr>
                <w:rFonts w:ascii="Arial" w:eastAsia="Arial" w:hAnsi="Arial" w:cs="Arial"/>
                <w:sz w:val="22"/>
                <w:szCs w:val="22"/>
              </w:rPr>
            </w:pPr>
            <w:r>
              <w:rPr>
                <w:rFonts w:ascii="Arial" w:eastAsia="Arial" w:hAnsi="Arial" w:cs="Arial"/>
                <w:sz w:val="22"/>
                <w:szCs w:val="22"/>
              </w:rPr>
              <w:t>Conduct informational sessions with partners, including sharing presentations and videos for their client base</w:t>
            </w:r>
          </w:p>
        </w:tc>
        <w:tc>
          <w:tcPr>
            <w:tcW w:w="306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tcPr>
          <w:p w14:paraId="02F238AE" w14:textId="77777777" w:rsidR="00815C2E" w:rsidRDefault="004505DC">
            <w:pPr>
              <w:widowControl w:val="0"/>
              <w:numPr>
                <w:ilvl w:val="0"/>
                <w:numId w:val="1"/>
              </w:numPr>
              <w:rPr>
                <w:rFonts w:ascii="Arial" w:eastAsia="Arial" w:hAnsi="Arial" w:cs="Arial"/>
                <w:sz w:val="22"/>
                <w:szCs w:val="22"/>
              </w:rPr>
            </w:pPr>
            <w:r>
              <w:rPr>
                <w:rFonts w:ascii="Arial" w:eastAsia="Arial" w:hAnsi="Arial" w:cs="Arial"/>
                <w:sz w:val="22"/>
                <w:szCs w:val="22"/>
              </w:rPr>
              <w:t>Meet with community partners and coalitions to discuss your program and potential referral opportunities</w:t>
            </w:r>
          </w:p>
          <w:p w14:paraId="21751E64" w14:textId="77777777" w:rsidR="00815C2E" w:rsidRDefault="004505DC">
            <w:pPr>
              <w:widowControl w:val="0"/>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Conduct a partner appreciation event or activity </w:t>
            </w:r>
          </w:p>
          <w:p w14:paraId="251B9822" w14:textId="49CACB89" w:rsidR="00815C2E" w:rsidRDefault="004505DC">
            <w:pPr>
              <w:widowControl w:val="0"/>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Engage with partners to learn about their best practices for supporting and retaining </w:t>
            </w:r>
            <w:r w:rsidR="00D820B9">
              <w:rPr>
                <w:rFonts w:ascii="Arial" w:eastAsia="Arial" w:hAnsi="Arial" w:cs="Arial"/>
                <w:sz w:val="22"/>
                <w:szCs w:val="22"/>
              </w:rPr>
              <w:t>staff</w:t>
            </w:r>
          </w:p>
        </w:tc>
      </w:tr>
    </w:tbl>
    <w:p w14:paraId="7EC18C85" w14:textId="77777777" w:rsidR="00815C2E" w:rsidRDefault="00815C2E">
      <w:pPr>
        <w:rPr>
          <w:rFonts w:ascii="Calibri" w:eastAsia="Calibri" w:hAnsi="Calibri" w:cs="Calibri"/>
          <w:b/>
          <w:color w:val="1E5BAA"/>
          <w:sz w:val="28"/>
          <w:szCs w:val="28"/>
        </w:rPr>
      </w:pPr>
    </w:p>
    <w:p w14:paraId="6238CB57" w14:textId="77777777" w:rsidR="00815C2E" w:rsidRDefault="004505DC">
      <w:pPr>
        <w:rPr>
          <w:rFonts w:ascii="Montserrat" w:eastAsia="Montserrat" w:hAnsi="Montserrat" w:cs="Montserrat"/>
          <w:b/>
          <w:color w:val="1E5BAA"/>
          <w:sz w:val="42"/>
          <w:szCs w:val="42"/>
        </w:rPr>
      </w:pPr>
      <w:r>
        <w:br w:type="page"/>
      </w:r>
    </w:p>
    <w:p w14:paraId="37DDC0B7" w14:textId="4CFB508E" w:rsidR="00815C2E" w:rsidRDefault="004505DC">
      <w:pPr>
        <w:spacing w:line="240" w:lineRule="auto"/>
        <w:rPr>
          <w:rFonts w:ascii="Arial" w:eastAsia="Arial" w:hAnsi="Arial" w:cs="Arial"/>
          <w:b/>
          <w:sz w:val="22"/>
          <w:szCs w:val="22"/>
        </w:rPr>
      </w:pPr>
      <w:r>
        <w:rPr>
          <w:rFonts w:ascii="Arial" w:eastAsia="Arial" w:hAnsi="Arial" w:cs="Arial"/>
          <w:b/>
          <w:color w:val="21617C"/>
          <w:sz w:val="28"/>
          <w:szCs w:val="28"/>
        </w:rPr>
        <w:lastRenderedPageBreak/>
        <w:t>Community Participation, Education, and Project Promotion (CPEP) Plan</w:t>
      </w:r>
      <w:r>
        <w:rPr>
          <w:rFonts w:ascii="Arial" w:eastAsia="Arial" w:hAnsi="Arial" w:cs="Arial"/>
          <w:b/>
          <w:color w:val="21617C"/>
          <w:sz w:val="28"/>
          <w:szCs w:val="28"/>
        </w:rPr>
        <w:br/>
      </w:r>
      <w:r>
        <w:rPr>
          <w:rFonts w:ascii="Arial" w:eastAsia="Arial" w:hAnsi="Arial" w:cs="Arial"/>
          <w:color w:val="21617C"/>
          <w:sz w:val="28"/>
          <w:szCs w:val="28"/>
        </w:rPr>
        <w:t xml:space="preserve">    </w:t>
      </w:r>
      <w:r>
        <w:rPr>
          <w:rFonts w:ascii="Arial" w:eastAsia="Arial" w:hAnsi="Arial" w:cs="Arial"/>
          <w:color w:val="21617C"/>
          <w:sz w:val="28"/>
          <w:szCs w:val="28"/>
        </w:rPr>
        <w:tab/>
      </w:r>
      <w:r>
        <w:rPr>
          <w:rFonts w:ascii="Arial" w:eastAsia="Arial" w:hAnsi="Arial" w:cs="Arial"/>
          <w:color w:val="21617C"/>
          <w:sz w:val="28"/>
          <w:szCs w:val="28"/>
        </w:rPr>
        <w:tab/>
      </w:r>
      <w:r>
        <w:rPr>
          <w:rFonts w:ascii="Arial" w:eastAsia="Arial" w:hAnsi="Arial" w:cs="Arial"/>
          <w:color w:val="21617C"/>
          <w:sz w:val="28"/>
          <w:szCs w:val="28"/>
        </w:rPr>
        <w:tab/>
      </w:r>
      <w:r>
        <w:rPr>
          <w:rFonts w:ascii="Arial" w:eastAsia="Arial" w:hAnsi="Arial" w:cs="Arial"/>
          <w:color w:val="21617C"/>
          <w:sz w:val="28"/>
          <w:szCs w:val="28"/>
        </w:rPr>
        <w:tab/>
      </w:r>
      <w:r>
        <w:rPr>
          <w:rFonts w:ascii="Arial" w:eastAsia="Arial" w:hAnsi="Arial" w:cs="Arial"/>
          <w:color w:val="21617C"/>
          <w:sz w:val="28"/>
          <w:szCs w:val="28"/>
        </w:rPr>
        <w:tab/>
      </w:r>
      <w:r>
        <w:rPr>
          <w:rFonts w:ascii="Arial" w:eastAsia="Arial" w:hAnsi="Arial" w:cs="Arial"/>
          <w:color w:val="21617C"/>
          <w:sz w:val="28"/>
          <w:szCs w:val="28"/>
        </w:rPr>
        <w:tab/>
        <w:t>Worksheet</w:t>
      </w:r>
      <w:r>
        <w:rPr>
          <w:rFonts w:ascii="Arial" w:eastAsia="Arial" w:hAnsi="Arial" w:cs="Arial"/>
          <w:color w:val="21617C"/>
          <w:sz w:val="38"/>
          <w:szCs w:val="38"/>
        </w:rPr>
        <w:t xml:space="preserve"> </w:t>
      </w:r>
      <w:r>
        <w:rPr>
          <w:rFonts w:ascii="Arial" w:eastAsia="Arial" w:hAnsi="Arial" w:cs="Arial"/>
          <w:b/>
          <w:color w:val="1E5BAA"/>
          <w:sz w:val="38"/>
          <w:szCs w:val="38"/>
        </w:rPr>
        <w:br/>
      </w:r>
      <w:r>
        <w:rPr>
          <w:rFonts w:ascii="Arial" w:eastAsia="Arial" w:hAnsi="Arial" w:cs="Arial"/>
          <w:sz w:val="22"/>
          <w:szCs w:val="22"/>
        </w:rPr>
        <w:br/>
        <w:t xml:space="preserve">Title X agencies can use this </w:t>
      </w:r>
      <w:r>
        <w:rPr>
          <w:rFonts w:ascii="Arial" w:eastAsia="Arial" w:hAnsi="Arial" w:cs="Arial"/>
          <w:color w:val="000000"/>
          <w:sz w:val="22"/>
          <w:szCs w:val="22"/>
        </w:rPr>
        <w:t xml:space="preserve">worksheet </w:t>
      </w:r>
      <w:r>
        <w:rPr>
          <w:rFonts w:ascii="Arial" w:eastAsia="Arial" w:hAnsi="Arial" w:cs="Arial"/>
          <w:sz w:val="22"/>
          <w:szCs w:val="22"/>
        </w:rPr>
        <w:t xml:space="preserve">to write in their objectives (and accompanying action steps, </w:t>
      </w:r>
      <w:r w:rsidR="00D820B9">
        <w:rPr>
          <w:rFonts w:ascii="Arial" w:eastAsia="Arial" w:hAnsi="Arial" w:cs="Arial"/>
          <w:sz w:val="22"/>
          <w:szCs w:val="22"/>
        </w:rPr>
        <w:t>intended</w:t>
      </w:r>
      <w:r>
        <w:rPr>
          <w:rFonts w:ascii="Arial" w:eastAsia="Arial" w:hAnsi="Arial" w:cs="Arial"/>
          <w:sz w:val="22"/>
          <w:szCs w:val="22"/>
        </w:rPr>
        <w:t xml:space="preserve"> populations, etc.) that will provide opportunities for CPEP. The worksheet can be adapted, adding objectives and rows as needed.</w:t>
      </w:r>
    </w:p>
    <w:p w14:paraId="51370CD6" w14:textId="77777777" w:rsidR="00815C2E" w:rsidRDefault="004505DC">
      <w:pPr>
        <w:spacing w:line="240" w:lineRule="auto"/>
        <w:rPr>
          <w:rFonts w:ascii="Arial" w:eastAsia="Arial" w:hAnsi="Arial" w:cs="Arial"/>
          <w:b/>
          <w:color w:val="1E5BAA"/>
          <w:sz w:val="42"/>
          <w:szCs w:val="42"/>
        </w:rPr>
      </w:pPr>
      <w:r>
        <w:rPr>
          <w:rFonts w:ascii="Arial" w:eastAsia="Arial" w:hAnsi="Arial" w:cs="Arial"/>
          <w:b/>
          <w:sz w:val="22"/>
          <w:szCs w:val="22"/>
        </w:rPr>
        <w:t xml:space="preserve">Objective: </w:t>
      </w:r>
      <w:r>
        <w:rPr>
          <w:rFonts w:ascii="Arial" w:eastAsia="Arial" w:hAnsi="Arial" w:cs="Arial"/>
          <w:b/>
          <w:color w:val="1E5BAA"/>
          <w:sz w:val="42"/>
          <w:szCs w:val="42"/>
        </w:rPr>
        <w:br/>
      </w:r>
      <w:r>
        <w:rPr>
          <w:rFonts w:ascii="Arial" w:eastAsia="Arial" w:hAnsi="Arial" w:cs="Arial"/>
          <w:sz w:val="22"/>
          <w:szCs w:val="22"/>
        </w:rPr>
        <w:t xml:space="preserve">This objective relates to the Title X requirement to ensure access to equitable, affordable, client-centered, quality family planning services by… (check all that apply): </w:t>
      </w:r>
    </w:p>
    <w:p w14:paraId="47F45E36" w14:textId="77777777" w:rsidR="00815C2E" w:rsidRDefault="00000000">
      <w:pPr>
        <w:spacing w:before="6" w:line="240" w:lineRule="auto"/>
        <w:ind w:firstLine="720"/>
        <w:rPr>
          <w:rFonts w:ascii="Arial" w:eastAsia="Arial" w:hAnsi="Arial" w:cs="Arial"/>
          <w:sz w:val="22"/>
          <w:szCs w:val="22"/>
        </w:rPr>
      </w:pPr>
      <w:sdt>
        <w:sdtPr>
          <w:tag w:val="goog_rdk_0"/>
          <w:id w:val="1622111265"/>
        </w:sdtPr>
        <w:sdtContent>
          <w:r w:rsidR="004505DC">
            <w:rPr>
              <w:rFonts w:ascii="Arial Unicode MS" w:eastAsia="Arial Unicode MS" w:hAnsi="Arial Unicode MS" w:cs="Arial Unicode MS"/>
              <w:sz w:val="22"/>
              <w:szCs w:val="22"/>
            </w:rPr>
            <w:t>❑</w:t>
          </w:r>
        </w:sdtContent>
      </w:sdt>
      <w:r w:rsidR="004505DC">
        <w:rPr>
          <w:rFonts w:ascii="Arial" w:eastAsia="Arial" w:hAnsi="Arial" w:cs="Arial"/>
          <w:sz w:val="22"/>
          <w:szCs w:val="22"/>
        </w:rPr>
        <w:t xml:space="preserve">  Promoting awareness and education about project objectives and availability of services </w:t>
      </w:r>
    </w:p>
    <w:p w14:paraId="04CF09C0" w14:textId="77777777" w:rsidR="00815C2E" w:rsidRDefault="00000000">
      <w:pPr>
        <w:spacing w:before="6" w:line="240" w:lineRule="auto"/>
        <w:ind w:left="720"/>
        <w:rPr>
          <w:rFonts w:ascii="Arial" w:eastAsia="Arial" w:hAnsi="Arial" w:cs="Arial"/>
          <w:sz w:val="22"/>
          <w:szCs w:val="22"/>
        </w:rPr>
      </w:pPr>
      <w:sdt>
        <w:sdtPr>
          <w:tag w:val="goog_rdk_1"/>
          <w:id w:val="2117636020"/>
        </w:sdtPr>
        <w:sdtContent>
          <w:r w:rsidR="004505DC">
            <w:rPr>
              <w:rFonts w:ascii="Arial Unicode MS" w:eastAsia="Arial Unicode MS" w:hAnsi="Arial Unicode MS" w:cs="Arial Unicode MS"/>
              <w:sz w:val="22"/>
              <w:szCs w:val="22"/>
            </w:rPr>
            <w:t>❑</w:t>
          </w:r>
        </w:sdtContent>
      </w:sdt>
      <w:r w:rsidR="004505DC">
        <w:rPr>
          <w:rFonts w:ascii="Arial" w:eastAsia="Arial" w:hAnsi="Arial" w:cs="Arial"/>
          <w:sz w:val="22"/>
          <w:szCs w:val="22"/>
        </w:rPr>
        <w:t xml:space="preserve">  Providing opportunities for participation in project planning, implementation, and evaluation</w:t>
      </w:r>
    </w:p>
    <w:bookmarkStart w:id="2" w:name="_heading=h.gjdgxs" w:colFirst="0" w:colLast="0"/>
    <w:bookmarkEnd w:id="2"/>
    <w:p w14:paraId="15B5ACD8" w14:textId="73788EA2" w:rsidR="00815C2E" w:rsidRDefault="00000000">
      <w:pPr>
        <w:spacing w:before="6" w:line="240" w:lineRule="auto"/>
        <w:ind w:left="720"/>
        <w:rPr>
          <w:rFonts w:ascii="Arial" w:eastAsia="Arial" w:hAnsi="Arial" w:cs="Arial"/>
          <w:sz w:val="22"/>
          <w:szCs w:val="22"/>
        </w:rPr>
      </w:pPr>
      <w:sdt>
        <w:sdtPr>
          <w:tag w:val="goog_rdk_2"/>
          <w:id w:val="1158959862"/>
        </w:sdtPr>
        <w:sdtContent>
          <w:r w:rsidR="004505DC">
            <w:rPr>
              <w:rFonts w:ascii="Arial Unicode MS" w:eastAsia="Arial Unicode MS" w:hAnsi="Arial Unicode MS" w:cs="Arial Unicode MS"/>
              <w:sz w:val="22"/>
              <w:szCs w:val="22"/>
            </w:rPr>
            <w:t>❑</w:t>
          </w:r>
        </w:sdtContent>
      </w:sdt>
      <w:r w:rsidR="004505DC">
        <w:rPr>
          <w:rFonts w:ascii="Arial" w:eastAsia="Arial" w:hAnsi="Arial" w:cs="Arial"/>
          <w:sz w:val="22"/>
          <w:szCs w:val="22"/>
        </w:rPr>
        <w:t xml:space="preserve">  </w:t>
      </w:r>
      <w:r w:rsidR="00D820B9" w:rsidRPr="00D820B9">
        <w:rPr>
          <w:rFonts w:ascii="Arial" w:eastAsia="Arial" w:hAnsi="Arial" w:cs="Arial"/>
          <w:sz w:val="22"/>
          <w:szCs w:val="22"/>
        </w:rPr>
        <w:t xml:space="preserve">Support participation of diverse persons in client-centered, quality family planning services </w:t>
      </w:r>
    </w:p>
    <w:tbl>
      <w:tblPr>
        <w:tblStyle w:val="a8"/>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544"/>
        <w:gridCol w:w="2686"/>
        <w:gridCol w:w="1260"/>
        <w:gridCol w:w="3150"/>
        <w:gridCol w:w="1710"/>
      </w:tblGrid>
      <w:tr w:rsidR="00815C2E" w14:paraId="79C1E846" w14:textId="77777777" w:rsidTr="003A6C8B">
        <w:trPr>
          <w:trHeight w:val="260"/>
        </w:trPr>
        <w:tc>
          <w:tcPr>
            <w:tcW w:w="1544" w:type="dxa"/>
            <w:shd w:val="clear" w:color="auto" w:fill="D9EDF8"/>
          </w:tcPr>
          <w:p w14:paraId="75B4A6BE" w14:textId="77777777" w:rsidR="00815C2E" w:rsidRDefault="004505DC">
            <w:pPr>
              <w:ind w:left="107"/>
              <w:rPr>
                <w:rFonts w:ascii="Arial" w:eastAsia="Arial" w:hAnsi="Arial" w:cs="Arial"/>
                <w:b/>
                <w:sz w:val="22"/>
                <w:szCs w:val="22"/>
              </w:rPr>
            </w:pPr>
            <w:r>
              <w:rPr>
                <w:rFonts w:ascii="Arial" w:eastAsia="Arial" w:hAnsi="Arial" w:cs="Arial"/>
                <w:b/>
                <w:sz w:val="22"/>
                <w:szCs w:val="22"/>
              </w:rPr>
              <w:t>Action Steps</w:t>
            </w:r>
          </w:p>
        </w:tc>
        <w:tc>
          <w:tcPr>
            <w:tcW w:w="2686" w:type="dxa"/>
            <w:shd w:val="clear" w:color="auto" w:fill="D9EDF8"/>
          </w:tcPr>
          <w:p w14:paraId="2E6DC3C8" w14:textId="00640636" w:rsidR="00815C2E" w:rsidRDefault="004505DC">
            <w:pPr>
              <w:ind w:left="107"/>
              <w:rPr>
                <w:rFonts w:ascii="Arial" w:eastAsia="Arial" w:hAnsi="Arial" w:cs="Arial"/>
                <w:b/>
                <w:sz w:val="22"/>
                <w:szCs w:val="22"/>
              </w:rPr>
            </w:pPr>
            <w:r>
              <w:rPr>
                <w:rFonts w:ascii="Arial" w:eastAsia="Arial" w:hAnsi="Arial" w:cs="Arial"/>
                <w:b/>
                <w:sz w:val="22"/>
                <w:szCs w:val="22"/>
              </w:rPr>
              <w:t>(</w:t>
            </w:r>
            <w:r w:rsidR="008C2E0F">
              <w:rPr>
                <w:rFonts w:ascii="Arial" w:eastAsia="Arial" w:hAnsi="Arial" w:cs="Arial"/>
                <w:b/>
                <w:sz w:val="22"/>
                <w:szCs w:val="22"/>
              </w:rPr>
              <w:t xml:space="preserve">Intended </w:t>
            </w:r>
            <w:r>
              <w:rPr>
                <w:rFonts w:ascii="Arial" w:eastAsia="Arial" w:hAnsi="Arial" w:cs="Arial"/>
                <w:b/>
                <w:sz w:val="22"/>
                <w:szCs w:val="22"/>
              </w:rPr>
              <w:t>Population (Example: Adolescents)</w:t>
            </w:r>
          </w:p>
        </w:tc>
        <w:tc>
          <w:tcPr>
            <w:tcW w:w="1260" w:type="dxa"/>
            <w:shd w:val="clear" w:color="auto" w:fill="D9EDF8"/>
          </w:tcPr>
          <w:p w14:paraId="43FC93C4" w14:textId="77777777" w:rsidR="00815C2E" w:rsidRDefault="004505DC">
            <w:pPr>
              <w:ind w:left="107"/>
              <w:rPr>
                <w:rFonts w:ascii="Arial" w:eastAsia="Arial" w:hAnsi="Arial" w:cs="Arial"/>
                <w:b/>
                <w:sz w:val="22"/>
                <w:szCs w:val="22"/>
              </w:rPr>
            </w:pPr>
            <w:r>
              <w:rPr>
                <w:rFonts w:ascii="Arial" w:eastAsia="Arial" w:hAnsi="Arial" w:cs="Arial"/>
                <w:b/>
                <w:sz w:val="22"/>
                <w:szCs w:val="22"/>
              </w:rPr>
              <w:t>Timeline</w:t>
            </w:r>
          </w:p>
        </w:tc>
        <w:tc>
          <w:tcPr>
            <w:tcW w:w="3150" w:type="dxa"/>
            <w:shd w:val="clear" w:color="auto" w:fill="D9EDF8"/>
          </w:tcPr>
          <w:p w14:paraId="4BBDA450" w14:textId="77777777" w:rsidR="00815C2E" w:rsidRDefault="004505DC">
            <w:pPr>
              <w:ind w:left="106" w:hanging="107"/>
              <w:rPr>
                <w:rFonts w:ascii="Arial" w:eastAsia="Arial" w:hAnsi="Arial" w:cs="Arial"/>
                <w:b/>
                <w:sz w:val="22"/>
                <w:szCs w:val="22"/>
              </w:rPr>
            </w:pPr>
            <w:r>
              <w:rPr>
                <w:rFonts w:ascii="Arial" w:eastAsia="Arial" w:hAnsi="Arial" w:cs="Arial"/>
                <w:b/>
                <w:sz w:val="22"/>
                <w:szCs w:val="22"/>
              </w:rPr>
              <w:t xml:space="preserve">  Person(s) Responsible</w:t>
            </w:r>
          </w:p>
        </w:tc>
        <w:tc>
          <w:tcPr>
            <w:tcW w:w="1710" w:type="dxa"/>
            <w:shd w:val="clear" w:color="auto" w:fill="D9EDF8"/>
          </w:tcPr>
          <w:p w14:paraId="4555704C" w14:textId="77777777" w:rsidR="00815C2E" w:rsidRDefault="004505DC">
            <w:pPr>
              <w:ind w:left="106" w:hanging="107"/>
              <w:rPr>
                <w:rFonts w:ascii="Arial" w:eastAsia="Arial" w:hAnsi="Arial" w:cs="Arial"/>
                <w:b/>
                <w:sz w:val="22"/>
                <w:szCs w:val="22"/>
              </w:rPr>
            </w:pPr>
            <w:r>
              <w:rPr>
                <w:rFonts w:ascii="Arial" w:eastAsia="Arial" w:hAnsi="Arial" w:cs="Arial"/>
                <w:b/>
                <w:sz w:val="22"/>
                <w:szCs w:val="22"/>
              </w:rPr>
              <w:t xml:space="preserve">  Indicator(s) of Completion</w:t>
            </w:r>
          </w:p>
        </w:tc>
      </w:tr>
      <w:tr w:rsidR="00815C2E" w14:paraId="7B7B950E" w14:textId="77777777" w:rsidTr="003A6C8B">
        <w:trPr>
          <w:trHeight w:val="7189"/>
        </w:trPr>
        <w:tc>
          <w:tcPr>
            <w:tcW w:w="1544" w:type="dxa"/>
          </w:tcPr>
          <w:p w14:paraId="1EF8CF60" w14:textId="77777777" w:rsidR="00815C2E" w:rsidRDefault="00815C2E">
            <w:pPr>
              <w:pBdr>
                <w:top w:val="nil"/>
                <w:left w:val="nil"/>
                <w:bottom w:val="nil"/>
                <w:right w:val="nil"/>
                <w:between w:val="nil"/>
              </w:pBdr>
              <w:ind w:left="107" w:right="345" w:hanging="107"/>
              <w:rPr>
                <w:rFonts w:ascii="Calibri" w:eastAsia="Calibri" w:hAnsi="Calibri" w:cs="Calibri"/>
              </w:rPr>
            </w:pPr>
          </w:p>
        </w:tc>
        <w:tc>
          <w:tcPr>
            <w:tcW w:w="2686" w:type="dxa"/>
          </w:tcPr>
          <w:p w14:paraId="4A3858C9" w14:textId="77777777" w:rsidR="00815C2E" w:rsidRDefault="00815C2E">
            <w:pPr>
              <w:pBdr>
                <w:top w:val="nil"/>
                <w:left w:val="nil"/>
                <w:bottom w:val="nil"/>
                <w:right w:val="nil"/>
                <w:between w:val="nil"/>
              </w:pBdr>
              <w:ind w:left="107" w:hanging="107"/>
              <w:rPr>
                <w:rFonts w:ascii="Calibri" w:eastAsia="Calibri" w:hAnsi="Calibri" w:cs="Calibri"/>
              </w:rPr>
            </w:pPr>
          </w:p>
        </w:tc>
        <w:tc>
          <w:tcPr>
            <w:tcW w:w="1260" w:type="dxa"/>
          </w:tcPr>
          <w:p w14:paraId="6EB2F8B9" w14:textId="77777777" w:rsidR="00815C2E" w:rsidRDefault="00815C2E">
            <w:pPr>
              <w:pBdr>
                <w:top w:val="nil"/>
                <w:left w:val="nil"/>
                <w:bottom w:val="nil"/>
                <w:right w:val="nil"/>
                <w:between w:val="nil"/>
              </w:pBdr>
              <w:tabs>
                <w:tab w:val="left" w:pos="467"/>
                <w:tab w:val="left" w:pos="468"/>
              </w:tabs>
              <w:rPr>
                <w:rFonts w:ascii="Calibri" w:eastAsia="Calibri" w:hAnsi="Calibri" w:cs="Calibri"/>
              </w:rPr>
            </w:pPr>
          </w:p>
        </w:tc>
        <w:tc>
          <w:tcPr>
            <w:tcW w:w="3150" w:type="dxa"/>
          </w:tcPr>
          <w:p w14:paraId="62FCCC03" w14:textId="77777777" w:rsidR="00815C2E" w:rsidRDefault="00815C2E">
            <w:pPr>
              <w:pBdr>
                <w:top w:val="nil"/>
                <w:left w:val="nil"/>
                <w:bottom w:val="nil"/>
                <w:right w:val="nil"/>
                <w:between w:val="nil"/>
              </w:pBdr>
              <w:ind w:left="106" w:right="227" w:hanging="107"/>
              <w:rPr>
                <w:rFonts w:ascii="Calibri" w:eastAsia="Calibri" w:hAnsi="Calibri" w:cs="Calibri"/>
              </w:rPr>
            </w:pPr>
          </w:p>
        </w:tc>
        <w:tc>
          <w:tcPr>
            <w:tcW w:w="1710" w:type="dxa"/>
          </w:tcPr>
          <w:p w14:paraId="172B8435" w14:textId="77777777" w:rsidR="00815C2E" w:rsidRDefault="00815C2E">
            <w:pPr>
              <w:pBdr>
                <w:top w:val="nil"/>
                <w:left w:val="nil"/>
                <w:bottom w:val="nil"/>
                <w:right w:val="nil"/>
                <w:between w:val="nil"/>
              </w:pBdr>
              <w:ind w:left="106" w:right="528" w:hanging="107"/>
              <w:rPr>
                <w:rFonts w:ascii="Calibri" w:eastAsia="Calibri" w:hAnsi="Calibri" w:cs="Calibri"/>
              </w:rPr>
            </w:pPr>
          </w:p>
        </w:tc>
      </w:tr>
    </w:tbl>
    <w:p w14:paraId="4F1235F1" w14:textId="77777777" w:rsidR="00815C2E" w:rsidRDefault="00815C2E">
      <w:pPr>
        <w:rPr>
          <w:rFonts w:ascii="Calibri" w:eastAsia="Calibri" w:hAnsi="Calibri" w:cs="Calibri"/>
        </w:rPr>
      </w:pPr>
    </w:p>
    <w:p w14:paraId="1D64AB0A" w14:textId="77777777" w:rsidR="00D820B9" w:rsidRDefault="00D820B9">
      <w:pPr>
        <w:rPr>
          <w:rFonts w:ascii="Arial" w:eastAsia="Arial" w:hAnsi="Arial" w:cs="Arial"/>
          <w:b/>
          <w:color w:val="21617C"/>
          <w:sz w:val="28"/>
          <w:szCs w:val="28"/>
        </w:rPr>
      </w:pPr>
      <w:r>
        <w:rPr>
          <w:rFonts w:ascii="Arial" w:eastAsia="Arial" w:hAnsi="Arial" w:cs="Arial"/>
          <w:b/>
          <w:color w:val="21617C"/>
          <w:sz w:val="28"/>
          <w:szCs w:val="28"/>
        </w:rPr>
        <w:br w:type="page"/>
      </w:r>
    </w:p>
    <w:p w14:paraId="08AC4222" w14:textId="7304E225" w:rsidR="00815C2E" w:rsidRDefault="004505DC">
      <w:pPr>
        <w:rPr>
          <w:rFonts w:ascii="Arial" w:eastAsia="Arial" w:hAnsi="Arial" w:cs="Arial"/>
          <w:b/>
          <w:color w:val="21617C"/>
        </w:rPr>
      </w:pPr>
      <w:r>
        <w:rPr>
          <w:rFonts w:ascii="Arial" w:eastAsia="Arial" w:hAnsi="Arial" w:cs="Arial"/>
          <w:b/>
          <w:color w:val="21617C"/>
          <w:sz w:val="28"/>
          <w:szCs w:val="28"/>
        </w:rPr>
        <w:lastRenderedPageBreak/>
        <w:t>Suggested CPEP Resources</w:t>
      </w:r>
    </w:p>
    <w:p w14:paraId="5371D530" w14:textId="77777777" w:rsidR="00815C2E" w:rsidRDefault="004505DC">
      <w:pPr>
        <w:numPr>
          <w:ilvl w:val="0"/>
          <w:numId w:val="3"/>
        </w:numPr>
        <w:spacing w:line="240" w:lineRule="auto"/>
        <w:rPr>
          <w:rFonts w:ascii="Arial" w:eastAsia="Arial" w:hAnsi="Arial" w:cs="Arial"/>
          <w:sz w:val="20"/>
          <w:szCs w:val="20"/>
        </w:rPr>
      </w:pPr>
      <w:hyperlink r:id="rId15">
        <w:r>
          <w:rPr>
            <w:rFonts w:ascii="Arial" w:eastAsia="Arial" w:hAnsi="Arial" w:cs="Arial"/>
            <w:color w:val="21617C"/>
            <w:sz w:val="20"/>
            <w:szCs w:val="20"/>
            <w:u w:val="single"/>
          </w:rPr>
          <w:t>Needs Assessment Template</w:t>
        </w:r>
      </w:hyperlink>
      <w:r>
        <w:rPr>
          <w:rFonts w:ascii="Arial" w:eastAsia="Arial" w:hAnsi="Arial" w:cs="Arial"/>
          <w:color w:val="4F81BD"/>
          <w:sz w:val="20"/>
          <w:szCs w:val="20"/>
        </w:rPr>
        <w:t xml:space="preserve"> </w:t>
      </w:r>
      <w:r>
        <w:rPr>
          <w:rFonts w:ascii="Arial" w:eastAsia="Arial" w:hAnsi="Arial" w:cs="Arial"/>
          <w:sz w:val="20"/>
          <w:szCs w:val="20"/>
        </w:rPr>
        <w:t xml:space="preserve">was created by the National Family Planning and Reproductive Health Association and outlines questions to consider when crafting a needs assessment. Questions include: who is needed, what evidence supports that claim, and why is it important that this population(s) be able to access publicly funded family planning and sexual </w:t>
      </w:r>
      <w:r>
        <w:rPr>
          <w:rFonts w:ascii="Arial" w:eastAsia="Arial" w:hAnsi="Arial" w:cs="Arial"/>
          <w:sz w:val="20"/>
          <w:szCs w:val="20"/>
        </w:rPr>
        <w:br/>
        <w:t>health services.</w:t>
      </w:r>
    </w:p>
    <w:p w14:paraId="510C6D2D" w14:textId="77777777" w:rsidR="00815C2E" w:rsidRDefault="004505DC">
      <w:pPr>
        <w:numPr>
          <w:ilvl w:val="0"/>
          <w:numId w:val="3"/>
        </w:numPr>
        <w:spacing w:line="240" w:lineRule="auto"/>
        <w:rPr>
          <w:rFonts w:ascii="Arial" w:eastAsia="Arial" w:hAnsi="Arial" w:cs="Arial"/>
          <w:sz w:val="20"/>
          <w:szCs w:val="20"/>
        </w:rPr>
      </w:pPr>
      <w:hyperlink r:id="rId16">
        <w:r>
          <w:rPr>
            <w:rFonts w:ascii="Arial" w:eastAsia="Arial" w:hAnsi="Arial" w:cs="Arial"/>
            <w:color w:val="21617C"/>
            <w:sz w:val="20"/>
            <w:szCs w:val="20"/>
            <w:u w:val="single"/>
          </w:rPr>
          <w:t>Patient Experience Toolkit</w:t>
        </w:r>
      </w:hyperlink>
      <w:r>
        <w:rPr>
          <w:rFonts w:ascii="Arial" w:eastAsia="Arial" w:hAnsi="Arial" w:cs="Arial"/>
          <w:color w:val="21617C"/>
          <w:sz w:val="20"/>
          <w:szCs w:val="20"/>
        </w:rPr>
        <w:t xml:space="preserve"> </w:t>
      </w:r>
      <w:r>
        <w:rPr>
          <w:rFonts w:ascii="Arial" w:eastAsia="Arial" w:hAnsi="Arial" w:cs="Arial"/>
          <w:sz w:val="20"/>
          <w:szCs w:val="20"/>
        </w:rPr>
        <w:t xml:space="preserve">helps family planning clinics improve the patient experience and increase patient retention at low or no cost. The toolkit includes a patient satisfaction survey, phone audit tools, focus group tools, and mobile phone patient satisfaction survey tools, </w:t>
      </w:r>
      <w:r>
        <w:rPr>
          <w:rFonts w:ascii="Arial" w:eastAsia="Arial" w:hAnsi="Arial" w:cs="Arial"/>
          <w:sz w:val="20"/>
          <w:szCs w:val="20"/>
        </w:rPr>
        <w:br/>
        <w:t>among others.</w:t>
      </w:r>
    </w:p>
    <w:p w14:paraId="64C52FE9" w14:textId="77777777" w:rsidR="00815C2E" w:rsidRDefault="004505DC">
      <w:pPr>
        <w:numPr>
          <w:ilvl w:val="0"/>
          <w:numId w:val="3"/>
        </w:numPr>
        <w:spacing w:line="240" w:lineRule="auto"/>
        <w:rPr>
          <w:rFonts w:ascii="Arial" w:eastAsia="Arial" w:hAnsi="Arial" w:cs="Arial"/>
          <w:sz w:val="20"/>
          <w:szCs w:val="20"/>
        </w:rPr>
      </w:pPr>
      <w:hyperlink r:id="rId17">
        <w:r>
          <w:rPr>
            <w:rFonts w:ascii="Arial" w:eastAsia="Arial" w:hAnsi="Arial" w:cs="Arial"/>
            <w:color w:val="21617C"/>
            <w:sz w:val="20"/>
            <w:szCs w:val="20"/>
            <w:u w:val="single"/>
          </w:rPr>
          <w:t>Prioritizing the Patient Experience: Strategies for Family Planning Video</w:t>
        </w:r>
      </w:hyperlink>
      <w:r>
        <w:rPr>
          <w:rFonts w:ascii="Arial" w:eastAsia="Arial" w:hAnsi="Arial" w:cs="Arial"/>
          <w:color w:val="21617C"/>
          <w:sz w:val="20"/>
          <w:szCs w:val="20"/>
        </w:rPr>
        <w:t xml:space="preserve"> </w:t>
      </w:r>
      <w:r>
        <w:rPr>
          <w:rFonts w:ascii="Arial" w:eastAsia="Arial" w:hAnsi="Arial" w:cs="Arial"/>
          <w:sz w:val="20"/>
          <w:szCs w:val="20"/>
        </w:rPr>
        <w:t>(15 minutes) highlights three Title X-funded family planning clinics. Learn why and how simple changes can improve every visit and keep patients coming back.</w:t>
      </w:r>
    </w:p>
    <w:p w14:paraId="7BCBF24E" w14:textId="77777777" w:rsidR="00815C2E" w:rsidRDefault="004505DC">
      <w:pPr>
        <w:numPr>
          <w:ilvl w:val="0"/>
          <w:numId w:val="3"/>
        </w:numPr>
        <w:spacing w:line="240" w:lineRule="auto"/>
        <w:rPr>
          <w:rFonts w:ascii="Arial" w:eastAsia="Arial" w:hAnsi="Arial" w:cs="Arial"/>
          <w:sz w:val="20"/>
          <w:szCs w:val="20"/>
        </w:rPr>
      </w:pPr>
      <w:hyperlink r:id="rId18">
        <w:r>
          <w:rPr>
            <w:rFonts w:ascii="Arial" w:eastAsia="Arial" w:hAnsi="Arial" w:cs="Arial"/>
            <w:color w:val="21617C"/>
            <w:sz w:val="20"/>
            <w:szCs w:val="20"/>
            <w:u w:val="single"/>
          </w:rPr>
          <w:t>Reducing Patient Wait Time Video</w:t>
        </w:r>
      </w:hyperlink>
      <w:r>
        <w:rPr>
          <w:rFonts w:ascii="Arial" w:eastAsia="Arial" w:hAnsi="Arial" w:cs="Arial"/>
          <w:color w:val="21617C"/>
          <w:sz w:val="20"/>
          <w:szCs w:val="20"/>
        </w:rPr>
        <w:t xml:space="preserve"> </w:t>
      </w:r>
      <w:r>
        <w:rPr>
          <w:rFonts w:ascii="Arial" w:eastAsia="Arial" w:hAnsi="Arial" w:cs="Arial"/>
          <w:sz w:val="20"/>
          <w:szCs w:val="20"/>
        </w:rPr>
        <w:t>(3 minutes) discusses the principles of Lean Process Improvement to decrease wait time at a clinic to keep patients coming back.</w:t>
      </w:r>
    </w:p>
    <w:p w14:paraId="5A1B936B" w14:textId="604E449B" w:rsidR="00815C2E" w:rsidRDefault="004505DC">
      <w:pPr>
        <w:numPr>
          <w:ilvl w:val="0"/>
          <w:numId w:val="3"/>
        </w:numPr>
        <w:spacing w:line="240" w:lineRule="auto"/>
        <w:rPr>
          <w:rFonts w:ascii="Arial" w:eastAsia="Arial" w:hAnsi="Arial" w:cs="Arial"/>
          <w:sz w:val="20"/>
          <w:szCs w:val="20"/>
        </w:rPr>
      </w:pPr>
      <w:hyperlink r:id="rId19">
        <w:r>
          <w:rPr>
            <w:rFonts w:ascii="Arial" w:eastAsia="Arial" w:hAnsi="Arial" w:cs="Arial"/>
            <w:color w:val="21617C"/>
            <w:sz w:val="20"/>
            <w:szCs w:val="20"/>
            <w:u w:val="single"/>
          </w:rPr>
          <w:t>Using In-Reach and Outreach to Effectively Promote Male Services Podcast</w:t>
        </w:r>
      </w:hyperlink>
      <w:r>
        <w:rPr>
          <w:rFonts w:ascii="Arial" w:eastAsia="Arial" w:hAnsi="Arial" w:cs="Arial"/>
          <w:color w:val="2BAAE2"/>
          <w:sz w:val="20"/>
          <w:szCs w:val="20"/>
        </w:rPr>
        <w:t xml:space="preserve"> </w:t>
      </w:r>
      <w:r>
        <w:rPr>
          <w:rFonts w:ascii="Arial" w:eastAsia="Arial" w:hAnsi="Arial" w:cs="Arial"/>
          <w:sz w:val="20"/>
          <w:szCs w:val="20"/>
        </w:rPr>
        <w:t>(10 minutes) was developed by Cardea and shares tips on how one model clinic successfully made serving men a top priority.</w:t>
      </w:r>
    </w:p>
    <w:p w14:paraId="6EF35E17" w14:textId="77777777" w:rsidR="00815C2E" w:rsidRDefault="004505DC">
      <w:pPr>
        <w:numPr>
          <w:ilvl w:val="0"/>
          <w:numId w:val="3"/>
        </w:numPr>
        <w:spacing w:line="240" w:lineRule="auto"/>
        <w:rPr>
          <w:rFonts w:ascii="Arial" w:eastAsia="Arial" w:hAnsi="Arial" w:cs="Arial"/>
          <w:sz w:val="20"/>
          <w:szCs w:val="20"/>
        </w:rPr>
      </w:pPr>
      <w:hyperlink r:id="rId20">
        <w:r>
          <w:rPr>
            <w:rFonts w:ascii="Arial" w:eastAsia="Arial" w:hAnsi="Arial" w:cs="Arial"/>
            <w:color w:val="21617C"/>
            <w:sz w:val="20"/>
            <w:szCs w:val="20"/>
            <w:u w:val="single"/>
          </w:rPr>
          <w:t>Engaging Diverse Community Partners Job Aid</w:t>
        </w:r>
      </w:hyperlink>
      <w:r>
        <w:rPr>
          <w:rFonts w:ascii="Arial" w:eastAsia="Arial" w:hAnsi="Arial" w:cs="Arial"/>
          <w:color w:val="2BAAE2"/>
          <w:sz w:val="20"/>
          <w:szCs w:val="20"/>
        </w:rPr>
        <w:t xml:space="preserve"> </w:t>
      </w:r>
      <w:r>
        <w:rPr>
          <w:rFonts w:ascii="Arial" w:eastAsia="Arial" w:hAnsi="Arial" w:cs="Arial"/>
          <w:sz w:val="20"/>
          <w:szCs w:val="20"/>
        </w:rPr>
        <w:t xml:space="preserve">offers guidance on developing partnerships </w:t>
      </w:r>
      <w:r>
        <w:rPr>
          <w:rFonts w:ascii="Arial" w:eastAsia="Arial" w:hAnsi="Arial" w:cs="Arial"/>
          <w:sz w:val="20"/>
          <w:szCs w:val="20"/>
        </w:rPr>
        <w:br/>
        <w:t xml:space="preserve">with community groups, programs, and organizations that represent various sectors and stakeholders, including those addressing social determinants that affect sexual and </w:t>
      </w:r>
      <w:r>
        <w:rPr>
          <w:rFonts w:ascii="Arial" w:eastAsia="Arial" w:hAnsi="Arial" w:cs="Arial"/>
          <w:sz w:val="20"/>
          <w:szCs w:val="20"/>
        </w:rPr>
        <w:br/>
        <w:t>reproductive health.</w:t>
      </w:r>
    </w:p>
    <w:p w14:paraId="096D799E" w14:textId="77777777" w:rsidR="00815C2E" w:rsidRDefault="00815C2E">
      <w:pPr>
        <w:rPr>
          <w:rFonts w:ascii="Arial" w:eastAsia="Arial" w:hAnsi="Arial" w:cs="Arial"/>
          <w:sz w:val="22"/>
          <w:szCs w:val="22"/>
        </w:rPr>
      </w:pPr>
    </w:p>
    <w:p w14:paraId="47DF4D2F" w14:textId="77777777" w:rsidR="00815C2E" w:rsidRDefault="00815C2E">
      <w:pPr>
        <w:rPr>
          <w:rFonts w:ascii="Arial" w:eastAsia="Arial" w:hAnsi="Arial" w:cs="Arial"/>
          <w:sz w:val="22"/>
          <w:szCs w:val="22"/>
        </w:rPr>
      </w:pPr>
    </w:p>
    <w:p w14:paraId="5CA0D30C" w14:textId="77777777" w:rsidR="00815C2E" w:rsidRDefault="00815C2E">
      <w:pPr>
        <w:rPr>
          <w:rFonts w:ascii="Arial" w:eastAsia="Arial" w:hAnsi="Arial" w:cs="Arial"/>
          <w:sz w:val="22"/>
          <w:szCs w:val="22"/>
        </w:rPr>
      </w:pPr>
    </w:p>
    <w:p w14:paraId="20CD5E6F" w14:textId="77777777" w:rsidR="00815C2E" w:rsidRDefault="00815C2E">
      <w:pPr>
        <w:rPr>
          <w:rFonts w:ascii="Arial" w:eastAsia="Arial" w:hAnsi="Arial" w:cs="Arial"/>
          <w:sz w:val="22"/>
          <w:szCs w:val="22"/>
        </w:rPr>
      </w:pPr>
    </w:p>
    <w:p w14:paraId="01AC9175" w14:textId="77777777" w:rsidR="00815C2E" w:rsidRDefault="00815C2E">
      <w:pPr>
        <w:rPr>
          <w:rFonts w:ascii="Arial" w:eastAsia="Arial" w:hAnsi="Arial" w:cs="Arial"/>
          <w:sz w:val="22"/>
          <w:szCs w:val="22"/>
        </w:rPr>
      </w:pPr>
    </w:p>
    <w:p w14:paraId="5454F3C5" w14:textId="77777777" w:rsidR="00815C2E" w:rsidRDefault="00815C2E">
      <w:pPr>
        <w:rPr>
          <w:rFonts w:ascii="Arial" w:eastAsia="Arial" w:hAnsi="Arial" w:cs="Arial"/>
          <w:sz w:val="22"/>
          <w:szCs w:val="22"/>
        </w:rPr>
      </w:pPr>
    </w:p>
    <w:p w14:paraId="5A18A43C" w14:textId="77777777" w:rsidR="00815C2E" w:rsidRDefault="00815C2E">
      <w:pPr>
        <w:rPr>
          <w:rFonts w:ascii="Arial" w:eastAsia="Arial" w:hAnsi="Arial" w:cs="Arial"/>
          <w:sz w:val="22"/>
          <w:szCs w:val="22"/>
        </w:rPr>
      </w:pPr>
    </w:p>
    <w:p w14:paraId="7E617034" w14:textId="77777777" w:rsidR="00815C2E" w:rsidRDefault="00815C2E">
      <w:pPr>
        <w:rPr>
          <w:rFonts w:ascii="Arial" w:eastAsia="Arial" w:hAnsi="Arial" w:cs="Arial"/>
          <w:sz w:val="22"/>
          <w:szCs w:val="22"/>
        </w:rPr>
      </w:pPr>
    </w:p>
    <w:p w14:paraId="7B1A75FF" w14:textId="35AAD32A" w:rsidR="00815C2E" w:rsidRDefault="00815C2E">
      <w:pPr>
        <w:rPr>
          <w:rFonts w:ascii="Arial" w:eastAsia="Arial" w:hAnsi="Arial" w:cs="Arial"/>
          <w:sz w:val="22"/>
          <w:szCs w:val="22"/>
        </w:rPr>
      </w:pPr>
    </w:p>
    <w:p w14:paraId="7573B876" w14:textId="77777777" w:rsidR="00D820B9" w:rsidRDefault="00D820B9">
      <w:pPr>
        <w:rPr>
          <w:rFonts w:ascii="Arial" w:eastAsia="Arial" w:hAnsi="Arial" w:cs="Arial"/>
          <w:sz w:val="22"/>
          <w:szCs w:val="22"/>
        </w:rPr>
      </w:pPr>
    </w:p>
    <w:p w14:paraId="412DA243" w14:textId="77777777" w:rsidR="00815C2E" w:rsidRDefault="00815C2E">
      <w:pPr>
        <w:rPr>
          <w:rFonts w:ascii="Arial" w:eastAsia="Arial" w:hAnsi="Arial" w:cs="Arial"/>
          <w:sz w:val="22"/>
          <w:szCs w:val="22"/>
        </w:rPr>
      </w:pPr>
    </w:p>
    <w:p w14:paraId="0EB6AA1A" w14:textId="77777777" w:rsidR="00815C2E" w:rsidRDefault="00815C2E">
      <w:pPr>
        <w:rPr>
          <w:rFonts w:ascii="Arial" w:eastAsia="Arial" w:hAnsi="Arial" w:cs="Arial"/>
          <w:sz w:val="22"/>
          <w:szCs w:val="22"/>
        </w:rPr>
      </w:pPr>
    </w:p>
    <w:p w14:paraId="10A85F0C" w14:textId="77777777" w:rsidR="00815C2E" w:rsidRDefault="00815C2E">
      <w:pPr>
        <w:rPr>
          <w:rFonts w:ascii="Arial" w:eastAsia="Arial" w:hAnsi="Arial" w:cs="Arial"/>
          <w:sz w:val="22"/>
          <w:szCs w:val="22"/>
        </w:rPr>
      </w:pPr>
    </w:p>
    <w:p w14:paraId="2652FA4C" w14:textId="77777777" w:rsidR="00815C2E" w:rsidRDefault="004505DC">
      <w:pPr>
        <w:spacing w:line="240" w:lineRule="auto"/>
        <w:rPr>
          <w:rFonts w:ascii="Arial" w:eastAsia="Arial" w:hAnsi="Arial" w:cs="Arial"/>
          <w:sz w:val="18"/>
          <w:szCs w:val="18"/>
        </w:rPr>
      </w:pPr>
      <w:r>
        <w:rPr>
          <w:rFonts w:ascii="Arial" w:eastAsia="Arial" w:hAnsi="Arial" w:cs="Arial"/>
          <w:sz w:val="18"/>
          <w:szCs w:val="18"/>
        </w:rPr>
        <w:lastRenderedPageBreak/>
        <w:t>This publication was supported by the Office of Population Affairs (Grant FPTPA006030). The views expressed do not necessarily reflect the official policies of the Department of Health and Human Services; nor does mention of trade names, commercial practices, or organizations imply endorsement by the U.S. Government.</w:t>
      </w:r>
    </w:p>
    <w:sectPr w:rsidR="00815C2E">
      <w:headerReference w:type="even" r:id="rId21"/>
      <w:headerReference w:type="default" r:id="rId22"/>
      <w:footerReference w:type="even" r:id="rId23"/>
      <w:footerReference w:type="default" r:id="rId24"/>
      <w:headerReference w:type="first" r:id="rId25"/>
      <w:footerReference w:type="first" r:id="rId26"/>
      <w:pgSz w:w="12240" w:h="15840"/>
      <w:pgMar w:top="405" w:right="1080" w:bottom="1080" w:left="10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7E1D" w14:textId="77777777" w:rsidR="000D6DDB" w:rsidRDefault="000D6DDB">
      <w:pPr>
        <w:spacing w:after="0" w:line="240" w:lineRule="auto"/>
      </w:pPr>
      <w:r>
        <w:separator/>
      </w:r>
    </w:p>
  </w:endnote>
  <w:endnote w:type="continuationSeparator" w:id="0">
    <w:p w14:paraId="0A67FFF4" w14:textId="77777777" w:rsidR="000D6DDB" w:rsidRDefault="000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Lato"/>
    <w:panose1 w:val="020F0502020204030203"/>
    <w:charset w:val="00"/>
    <w:family w:val="swiss"/>
    <w:pitch w:val="variable"/>
    <w:sig w:usb0="E10002FF" w:usb1="5000ECFF" w:usb2="00000021"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E6C9" w14:textId="77777777" w:rsidR="00815C2E" w:rsidRDefault="00815C2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1E8F" w14:textId="77777777" w:rsidR="00815C2E" w:rsidRDefault="004505DC">
    <w:pPr>
      <w:pBdr>
        <w:top w:val="nil"/>
        <w:left w:val="nil"/>
        <w:bottom w:val="nil"/>
        <w:right w:val="nil"/>
        <w:between w:val="nil"/>
      </w:pBdr>
      <w:tabs>
        <w:tab w:val="center" w:pos="4680"/>
        <w:tab w:val="right" w:pos="9360"/>
      </w:tabs>
      <w:jc w:val="center"/>
      <w:rPr>
        <w:rFonts w:ascii="Quattrocento Sans" w:eastAsia="Quattrocento Sans" w:hAnsi="Quattrocento Sans" w:cs="Quattrocento Sans"/>
        <w:color w:val="000000"/>
      </w:rPr>
    </w:pPr>
    <w:r>
      <w:rPr>
        <w:rFonts w:ascii="Quattrocento Sans" w:eastAsia="Quattrocento Sans" w:hAnsi="Quattrocento Sans" w:cs="Quattrocento Sans"/>
        <w:color w:val="000000"/>
      </w:rPr>
      <w:fldChar w:fldCharType="begin"/>
    </w:r>
    <w:r>
      <w:rPr>
        <w:rFonts w:ascii="Quattrocento Sans" w:eastAsia="Quattrocento Sans" w:hAnsi="Quattrocento Sans" w:cs="Quattrocento Sans"/>
        <w:color w:val="000000"/>
      </w:rPr>
      <w:instrText>PAGE</w:instrText>
    </w:r>
    <w:r>
      <w:rPr>
        <w:rFonts w:ascii="Quattrocento Sans" w:eastAsia="Quattrocento Sans" w:hAnsi="Quattrocento Sans" w:cs="Quattrocento Sans"/>
        <w:color w:val="000000"/>
      </w:rPr>
      <w:fldChar w:fldCharType="separate"/>
    </w:r>
    <w:r w:rsidR="00DA7C0F">
      <w:rPr>
        <w:rFonts w:ascii="Quattrocento Sans" w:eastAsia="Quattrocento Sans" w:hAnsi="Quattrocento Sans" w:cs="Quattrocento Sans"/>
        <w:noProof/>
        <w:color w:val="000000"/>
      </w:rPr>
      <w:t>1</w:t>
    </w:r>
    <w:r>
      <w:rPr>
        <w:rFonts w:ascii="Quattrocento Sans" w:eastAsia="Quattrocento Sans" w:hAnsi="Quattrocento Sans" w:cs="Quattrocento Sans"/>
        <w:color w:val="000000"/>
      </w:rPr>
      <w:fldChar w:fldCharType="end"/>
    </w:r>
  </w:p>
  <w:p w14:paraId="38AD4564" w14:textId="77777777" w:rsidR="00815C2E" w:rsidRDefault="00815C2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7EC" w14:textId="77777777" w:rsidR="00815C2E" w:rsidRDefault="00815C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F2AB" w14:textId="77777777" w:rsidR="000D6DDB" w:rsidRDefault="000D6DDB">
      <w:pPr>
        <w:spacing w:after="0" w:line="240" w:lineRule="auto"/>
      </w:pPr>
      <w:r>
        <w:separator/>
      </w:r>
    </w:p>
  </w:footnote>
  <w:footnote w:type="continuationSeparator" w:id="0">
    <w:p w14:paraId="37AD0FAF" w14:textId="77777777" w:rsidR="000D6DDB" w:rsidRDefault="000D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07A" w14:textId="77777777" w:rsidR="00815C2E" w:rsidRDefault="00815C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A266" w14:textId="77777777" w:rsidR="00815C2E" w:rsidRDefault="00815C2E">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E08" w14:textId="77777777" w:rsidR="00815C2E" w:rsidRDefault="00815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27F"/>
    <w:multiLevelType w:val="multilevel"/>
    <w:tmpl w:val="9AB48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63758B"/>
    <w:multiLevelType w:val="multilevel"/>
    <w:tmpl w:val="54E074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0083A1C"/>
    <w:multiLevelType w:val="multilevel"/>
    <w:tmpl w:val="0282868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324862"/>
    <w:multiLevelType w:val="multilevel"/>
    <w:tmpl w:val="26EA5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24614131">
    <w:abstractNumId w:val="3"/>
  </w:num>
  <w:num w:numId="2" w16cid:durableId="1030643091">
    <w:abstractNumId w:val="2"/>
  </w:num>
  <w:num w:numId="3" w16cid:durableId="264769064">
    <w:abstractNumId w:val="0"/>
  </w:num>
  <w:num w:numId="4" w16cid:durableId="122548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2E"/>
    <w:rsid w:val="000D6DDB"/>
    <w:rsid w:val="003647D8"/>
    <w:rsid w:val="003A6C8B"/>
    <w:rsid w:val="004505DC"/>
    <w:rsid w:val="004F7AEC"/>
    <w:rsid w:val="005728B8"/>
    <w:rsid w:val="00815C2E"/>
    <w:rsid w:val="008C2E0F"/>
    <w:rsid w:val="008D59BC"/>
    <w:rsid w:val="00925E00"/>
    <w:rsid w:val="00A52641"/>
    <w:rsid w:val="00B05A57"/>
    <w:rsid w:val="00B47679"/>
    <w:rsid w:val="00D07531"/>
    <w:rsid w:val="00D820B9"/>
    <w:rsid w:val="00DA7C0F"/>
    <w:rsid w:val="00DE45D4"/>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5A948"/>
  <w15:docId w15:val="{FEFA7014-1798-4C39-AFDC-28481AA5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C3"/>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rPr>
  </w:style>
  <w:style w:type="paragraph" w:styleId="Subtitle">
    <w:name w:val="Subtitle"/>
    <w:basedOn w:val="Normal"/>
    <w:next w:val="Normal"/>
    <w:pPr>
      <w:keepNext/>
      <w:keepLines/>
      <w:widowControl w:val="0"/>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paragraph" w:styleId="ListParagraph">
    <w:name w:val="List Paragraph"/>
    <w:basedOn w:val="Normal"/>
    <w:uiPriority w:val="34"/>
    <w:qFormat/>
    <w:rsid w:val="00844F9B"/>
    <w:pPr>
      <w:widowControl w:val="0"/>
      <w:ind w:left="720"/>
      <w:contextualSpacing/>
    </w:pPr>
    <w:rPr>
      <w:rFonts w:ascii="Calibri" w:eastAsia="Calibri" w:hAnsi="Calibri" w:cs="Calibri"/>
      <w:sz w:val="22"/>
      <w:szCs w:val="22"/>
    </w:rPr>
  </w:style>
  <w:style w:type="paragraph" w:styleId="Header">
    <w:name w:val="header"/>
    <w:basedOn w:val="Normal"/>
    <w:link w:val="HeaderChar"/>
    <w:uiPriority w:val="99"/>
    <w:unhideWhenUsed/>
    <w:rsid w:val="007610C3"/>
    <w:pPr>
      <w:tabs>
        <w:tab w:val="center" w:pos="4680"/>
        <w:tab w:val="right" w:pos="9360"/>
      </w:tabs>
    </w:pPr>
  </w:style>
  <w:style w:type="character" w:customStyle="1" w:styleId="HeaderChar">
    <w:name w:val="Header Char"/>
    <w:basedOn w:val="DefaultParagraphFont"/>
    <w:link w:val="Header"/>
    <w:uiPriority w:val="99"/>
    <w:rsid w:val="007610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10C3"/>
    <w:pPr>
      <w:tabs>
        <w:tab w:val="center" w:pos="4680"/>
        <w:tab w:val="right" w:pos="9360"/>
      </w:tabs>
    </w:pPr>
  </w:style>
  <w:style w:type="character" w:customStyle="1" w:styleId="FooterChar">
    <w:name w:val="Footer Char"/>
    <w:basedOn w:val="DefaultParagraphFont"/>
    <w:link w:val="Footer"/>
    <w:uiPriority w:val="99"/>
    <w:rsid w:val="007610C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319"/>
    <w:rPr>
      <w:color w:val="0000FF" w:themeColor="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0" w:type="dxa"/>
        <w:bottom w:w="100" w:type="dxa"/>
        <w:right w:w="0" w:type="dxa"/>
      </w:tblCellMar>
    </w:tblPr>
  </w:style>
  <w:style w:type="table" w:customStyle="1" w:styleId="a3">
    <w:basedOn w:val="TableNormal"/>
    <w:tblPr>
      <w:tblStyleRowBandSize w:val="1"/>
      <w:tblStyleColBandSize w:val="1"/>
      <w:tblCellMar>
        <w:top w:w="100" w:type="dxa"/>
        <w:left w:w="0" w:type="dxa"/>
        <w:bottom w:w="100" w:type="dxa"/>
        <w:right w:w="0" w:type="dxa"/>
      </w:tblCellMar>
    </w:tblPr>
  </w:style>
  <w:style w:type="table" w:customStyle="1" w:styleId="a4">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1899"/>
    <w:rPr>
      <w:sz w:val="18"/>
      <w:szCs w:val="18"/>
    </w:rPr>
  </w:style>
  <w:style w:type="character" w:customStyle="1" w:styleId="BalloonTextChar">
    <w:name w:val="Balloon Text Char"/>
    <w:basedOn w:val="DefaultParagraphFont"/>
    <w:link w:val="BalloonText"/>
    <w:uiPriority w:val="99"/>
    <w:semiHidden/>
    <w:rsid w:val="00FE1899"/>
    <w:rPr>
      <w:sz w:val="18"/>
      <w:szCs w:val="18"/>
    </w:rPr>
  </w:style>
  <w:style w:type="paragraph" w:styleId="CommentSubject">
    <w:name w:val="annotation subject"/>
    <w:basedOn w:val="CommentText"/>
    <w:next w:val="CommentText"/>
    <w:link w:val="CommentSubjectChar"/>
    <w:uiPriority w:val="99"/>
    <w:semiHidden/>
    <w:unhideWhenUsed/>
    <w:rsid w:val="00F20D45"/>
    <w:pPr>
      <w:spacing w:line="240" w:lineRule="auto"/>
    </w:pPr>
    <w:rPr>
      <w:b/>
      <w:bCs/>
    </w:rPr>
  </w:style>
  <w:style w:type="character" w:customStyle="1" w:styleId="CommentSubjectChar">
    <w:name w:val="Comment Subject Char"/>
    <w:basedOn w:val="CommentTextChar"/>
    <w:link w:val="CommentSubject"/>
    <w:uiPriority w:val="99"/>
    <w:semiHidden/>
    <w:rsid w:val="00F20D45"/>
    <w:rPr>
      <w:b/>
      <w:bCs/>
      <w:sz w:val="20"/>
      <w:szCs w:val="20"/>
    </w:rPr>
  </w:style>
  <w:style w:type="paragraph" w:styleId="Revision">
    <w:name w:val="Revision"/>
    <w:hidden/>
    <w:uiPriority w:val="99"/>
    <w:semiHidden/>
    <w:rsid w:val="00720672"/>
    <w:pPr>
      <w:spacing w:after="0" w:line="240" w:lineRule="auto"/>
    </w:pPr>
  </w:style>
  <w:style w:type="table" w:customStyle="1" w:styleId="a5">
    <w:basedOn w:val="TableNormal"/>
    <w:tblPr>
      <w:tblStyleRowBandSize w:val="1"/>
      <w:tblStyleColBandSize w:val="1"/>
      <w:tblCellMar>
        <w:top w:w="100" w:type="dxa"/>
        <w:left w:w="0" w:type="dxa"/>
        <w:bottom w:w="100" w:type="dxa"/>
        <w:right w:w="0" w:type="dxa"/>
      </w:tblCellMar>
    </w:tblPr>
  </w:style>
  <w:style w:type="table" w:customStyle="1" w:styleId="a6">
    <w:basedOn w:val="TableNormal"/>
    <w:tblPr>
      <w:tblStyleRowBandSize w:val="1"/>
      <w:tblStyleColBandSize w:val="1"/>
      <w:tblCellMar>
        <w:top w:w="100" w:type="dxa"/>
        <w:left w:w="0" w:type="dxa"/>
        <w:bottom w:w="100" w:type="dxa"/>
        <w:right w:w="0" w:type="dxa"/>
      </w:tblCellMar>
    </w:tblPr>
  </w:style>
  <w:style w:type="table" w:customStyle="1" w:styleId="a7">
    <w:basedOn w:val="TableNormal"/>
    <w:tblPr>
      <w:tblStyleRowBandSize w:val="1"/>
      <w:tblStyleColBandSize w:val="1"/>
      <w:tblCellMar>
        <w:top w:w="100" w:type="dxa"/>
        <w:left w:w="0" w:type="dxa"/>
        <w:bottom w:w="100" w:type="dxa"/>
        <w:right w:w="0" w:type="dxa"/>
      </w:tblCellMar>
    </w:tblPr>
  </w:style>
  <w:style w:type="table" w:customStyle="1" w:styleId="a8">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hntc.org/resources/using-virtual-and-remote-outreach-meet-cpep-requirements-job-aid" TargetMode="External"/><Relationship Id="rId18" Type="http://schemas.openxmlformats.org/officeDocument/2006/relationships/hyperlink" Target="https://vimeo.com/15499115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pntc.org/resources/prioritizing-patient-experience-strategies-family-planning-video"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hntc.org/resources/patient-experience-improvement-toolkit" TargetMode="External"/><Relationship Id="rId20" Type="http://schemas.openxmlformats.org/officeDocument/2006/relationships/hyperlink" Target="https://rhntc.org/resources/engaging-diverse-community-partners-job-aid"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tionalfamilyplanning.org/file/Needs-Assessment_ResourceGuid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cfr.gov/cgi-bin/text-idx?SID=c1cbd72e13f7230f1e8328fa52b57899&amp;mc=true&amp;node=sp42.1.59.a&amp;rgn=div6" TargetMode="External"/><Relationship Id="rId19" Type="http://schemas.openxmlformats.org/officeDocument/2006/relationships/hyperlink" Target="https://www.fpntc.org/resources/using-reach-and-outreach-effectively-promote-male-services-podcast" TargetMode="External"/><Relationship Id="rId4" Type="http://schemas.openxmlformats.org/officeDocument/2006/relationships/settings" Target="settings.xml"/><Relationship Id="rId9" Type="http://schemas.openxmlformats.org/officeDocument/2006/relationships/hyperlink" Target="https://rhntc.org/resources/title-x-program-handbook" TargetMode="External"/><Relationship Id="rId14" Type="http://schemas.openxmlformats.org/officeDocument/2006/relationships/hyperlink" Target="https://rhntc.org/resources/patient-experience-improvement-toolki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972qnGWM1WgTzAjAaQGkFji2g==">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RHNTC</dc:creator>
  <cp:lastModifiedBy>Rachael Meyer</cp:lastModifiedBy>
  <cp:revision>3</cp:revision>
  <dcterms:created xsi:type="dcterms:W3CDTF">2025-12-29T22:08:00Z</dcterms:created>
  <dcterms:modified xsi:type="dcterms:W3CDTF">2026-01-05T23:31:00Z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4bee353a-9fa7-4289-9871-801a8de4493f</vt:lpwstr>
  </property>
</Properties>
</file>