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E0146" w14:textId="6398F061" w:rsidR="00FE13FA" w:rsidRPr="008D5096" w:rsidRDefault="008F14B9" w:rsidP="002A4275">
      <w:pPr>
        <w:pBdr>
          <w:bottom w:val="single" w:sz="4" w:space="1" w:color="auto"/>
        </w:pBdr>
        <w:spacing w:line="840" w:lineRule="exact"/>
        <w:rPr>
          <w:rFonts w:ascii="Calibri" w:eastAsia="Calibri" w:hAnsi="Calibri" w:cs="Calibri"/>
          <w:b/>
          <w:color w:val="262626" w:themeColor="text1" w:themeTint="D9"/>
          <w:sz w:val="72"/>
          <w:szCs w:val="72"/>
        </w:rPr>
      </w:pPr>
      <w:r w:rsidRPr="002A4275">
        <w:rPr>
          <w:rFonts w:ascii="Calibri" w:eastAsia="Calibri" w:hAnsi="Calibri" w:cs="Calibri"/>
          <w:b/>
          <w:color w:val="262626" w:themeColor="text1" w:themeTint="D9"/>
          <w:sz w:val="48"/>
          <w:szCs w:val="48"/>
        </w:rPr>
        <w:t>Telehealth Visit</w:t>
      </w:r>
      <w:r w:rsidRPr="008D5096">
        <w:rPr>
          <w:rFonts w:ascii="Calibri" w:eastAsia="Calibri" w:hAnsi="Calibri" w:cs="Calibri"/>
          <w:b/>
          <w:color w:val="262626" w:themeColor="text1" w:themeTint="D9"/>
          <w:sz w:val="72"/>
          <w:szCs w:val="72"/>
        </w:rPr>
        <w:t xml:space="preserve"> </w:t>
      </w:r>
      <w:r w:rsidR="002A4275">
        <w:rPr>
          <w:rFonts w:ascii="Calibri" w:eastAsia="Calibri" w:hAnsi="Calibri" w:cs="Calibri"/>
          <w:b/>
          <w:color w:val="262626" w:themeColor="text1" w:themeTint="D9"/>
          <w:sz w:val="72"/>
          <w:szCs w:val="72"/>
        </w:rPr>
        <w:br/>
      </w:r>
      <w:r w:rsidRPr="002A4275">
        <w:rPr>
          <w:rFonts w:ascii="Calibri" w:eastAsia="Calibri" w:hAnsi="Calibri" w:cs="Calibri"/>
          <w:b/>
          <w:color w:val="262626" w:themeColor="text1" w:themeTint="D9"/>
          <w:sz w:val="96"/>
          <w:szCs w:val="96"/>
        </w:rPr>
        <w:t>Chart Audits</w:t>
      </w:r>
    </w:p>
    <w:p w14:paraId="3BD99936" w14:textId="3EE14D54" w:rsidR="00FE13FA" w:rsidRPr="0036528B" w:rsidRDefault="00C0287C" w:rsidP="008D5096">
      <w:pPr>
        <w:spacing w:before="240"/>
        <w:rPr>
          <w:rFonts w:ascii="Calibri" w:eastAsia="Calibri" w:hAnsi="Calibri" w:cs="Calibri"/>
          <w:b/>
          <w:iCs/>
          <w:color w:val="4F81BD" w:themeColor="accent1"/>
          <w:sz w:val="28"/>
          <w:szCs w:val="28"/>
        </w:rPr>
      </w:pPr>
      <w:r w:rsidRPr="0036528B">
        <w:rPr>
          <w:rFonts w:ascii="Calibri" w:eastAsia="Calibri" w:hAnsi="Calibri" w:cs="Calibri"/>
          <w:b/>
          <w:iCs/>
          <w:color w:val="4F81BD" w:themeColor="accent1"/>
          <w:sz w:val="28"/>
          <w:szCs w:val="28"/>
        </w:rPr>
        <w:t>PURPOSE</w:t>
      </w:r>
    </w:p>
    <w:p w14:paraId="25D77D8B" w14:textId="7480F38B" w:rsidR="00FE13FA" w:rsidRPr="00C0287C" w:rsidRDefault="008F14B9" w:rsidP="00C0287C">
      <w:pPr>
        <w:rPr>
          <w:rFonts w:ascii="Calibri" w:eastAsia="Calibri" w:hAnsi="Calibri" w:cs="Calibri"/>
          <w:color w:val="262626" w:themeColor="text1" w:themeTint="D9"/>
          <w:sz w:val="24"/>
          <w:szCs w:val="24"/>
        </w:rPr>
      </w:pPr>
      <w:r w:rsidRPr="00C0287C">
        <w:rPr>
          <w:rFonts w:ascii="Calibri" w:eastAsia="Calibri" w:hAnsi="Calibri" w:cs="Calibri"/>
          <w:color w:val="262626" w:themeColor="text1" w:themeTint="D9"/>
          <w:sz w:val="24"/>
          <w:szCs w:val="24"/>
        </w:rPr>
        <w:t xml:space="preserve">This job aid provides Title X agencies with a sample chart audit for telehealth visits. Unlike other Title </w:t>
      </w:r>
      <w:proofErr w:type="gramStart"/>
      <w:r w:rsidRPr="00C0287C">
        <w:rPr>
          <w:rFonts w:ascii="Calibri" w:eastAsia="Calibri" w:hAnsi="Calibri" w:cs="Calibri"/>
          <w:color w:val="262626" w:themeColor="text1" w:themeTint="D9"/>
          <w:sz w:val="24"/>
          <w:szCs w:val="24"/>
        </w:rPr>
        <w:t>X</w:t>
      </w:r>
      <w:proofErr w:type="gramEnd"/>
      <w:r w:rsidRPr="00C0287C">
        <w:rPr>
          <w:rFonts w:ascii="Calibri" w:eastAsia="Calibri" w:hAnsi="Calibri" w:cs="Calibri"/>
          <w:color w:val="262626" w:themeColor="text1" w:themeTint="D9"/>
          <w:sz w:val="24"/>
          <w:szCs w:val="24"/>
        </w:rPr>
        <w:t xml:space="preserve"> chart audits that seek to ensure Title X Program Requirements and Quality Family Planning (QFP) Recommendations are adhered to, chart audits for telehealth visits </w:t>
      </w:r>
      <w:r w:rsidR="00963CD1">
        <w:rPr>
          <w:rFonts w:ascii="Calibri" w:eastAsia="Calibri" w:hAnsi="Calibri" w:cs="Calibri"/>
          <w:color w:val="262626" w:themeColor="text1" w:themeTint="D9"/>
          <w:sz w:val="24"/>
          <w:szCs w:val="24"/>
        </w:rPr>
        <w:t>may be more</w:t>
      </w:r>
      <w:r w:rsidRPr="00C0287C">
        <w:rPr>
          <w:rFonts w:ascii="Calibri" w:eastAsia="Calibri" w:hAnsi="Calibri" w:cs="Calibri"/>
          <w:color w:val="262626" w:themeColor="text1" w:themeTint="D9"/>
          <w:sz w:val="24"/>
          <w:szCs w:val="24"/>
        </w:rPr>
        <w:t xml:space="preserve"> narrowly focused to ensure that visits are properly documented and services provided are reimbursable. Chart audits are helpful to ensure accuracy of documentation into an agency’s electronic health record (EHR). They can also help ensure, or correct as needed, that telehealth visits are appropriately coded.</w:t>
      </w:r>
      <w:r w:rsidRPr="00C0287C">
        <w:rPr>
          <w:rFonts w:ascii="Calibri" w:eastAsia="Calibri" w:hAnsi="Calibri" w:cs="Calibri"/>
          <w:color w:val="262626" w:themeColor="text1" w:themeTint="D9"/>
          <w:sz w:val="24"/>
          <w:szCs w:val="24"/>
          <w:vertAlign w:val="superscript"/>
        </w:rPr>
        <w:footnoteReference w:id="1"/>
      </w:r>
      <w:r w:rsidRPr="00C0287C">
        <w:rPr>
          <w:rFonts w:ascii="Calibri" w:eastAsia="Calibri" w:hAnsi="Calibri" w:cs="Calibri"/>
          <w:color w:val="262626" w:themeColor="text1" w:themeTint="D9"/>
          <w:sz w:val="24"/>
          <w:szCs w:val="24"/>
        </w:rPr>
        <w:t xml:space="preserve"> For clients with third-party insurance (private or Medicaid), it is critical that visits are documented correctly and the correct codes and modifiers are applied to ensure services are reimbursable. For example, providers may have a routine for how they maneuver EHR templates, clicks with the EHR, and notes section as they conduct visits with clients. A transition to telehealth visits may disrupt this routine, and Title X staff may find providers inadvertently clicking on certain elements of a visit that may not be applicable to a telehealth visit. </w:t>
      </w:r>
      <w:proofErr w:type="gramStart"/>
      <w:r w:rsidR="00963CD1" w:rsidRPr="00C0287C">
        <w:rPr>
          <w:rFonts w:ascii="Calibri" w:eastAsia="Calibri" w:hAnsi="Calibri" w:cs="Calibri"/>
          <w:color w:val="262626" w:themeColor="text1" w:themeTint="D9"/>
          <w:sz w:val="24"/>
          <w:szCs w:val="24"/>
        </w:rPr>
        <w:t xml:space="preserve">There may be some aspects of a Title X visit (or broader primary care visit) that </w:t>
      </w:r>
      <w:r w:rsidR="00963CD1">
        <w:rPr>
          <w:rFonts w:ascii="Calibri" w:eastAsia="Calibri" w:hAnsi="Calibri" w:cs="Calibri"/>
          <w:color w:val="262626" w:themeColor="text1" w:themeTint="D9"/>
          <w:sz w:val="24"/>
          <w:szCs w:val="24"/>
        </w:rPr>
        <w:t>are not</w:t>
      </w:r>
      <w:r w:rsidR="00963CD1" w:rsidRPr="00C0287C">
        <w:rPr>
          <w:rFonts w:ascii="Calibri" w:eastAsia="Calibri" w:hAnsi="Calibri" w:cs="Calibri"/>
          <w:color w:val="262626" w:themeColor="text1" w:themeTint="D9"/>
          <w:sz w:val="24"/>
          <w:szCs w:val="24"/>
        </w:rPr>
        <w:t xml:space="preserve"> possible via telehealth.</w:t>
      </w:r>
      <w:proofErr w:type="gramEnd"/>
    </w:p>
    <w:p w14:paraId="56F7F790" w14:textId="77777777" w:rsidR="00FE13FA" w:rsidRDefault="00FE13FA">
      <w:pPr>
        <w:rPr>
          <w:rFonts w:ascii="Calibri" w:eastAsia="Calibri" w:hAnsi="Calibri" w:cs="Calibri"/>
          <w:sz w:val="24"/>
          <w:szCs w:val="24"/>
        </w:rPr>
      </w:pPr>
    </w:p>
    <w:p w14:paraId="01E146C1" w14:textId="3E674370" w:rsidR="00FE13FA" w:rsidRPr="0036528B" w:rsidRDefault="00C0287C">
      <w:pPr>
        <w:rPr>
          <w:rFonts w:ascii="Calibri" w:eastAsia="Calibri" w:hAnsi="Calibri" w:cs="Calibri"/>
          <w:b/>
          <w:iCs/>
          <w:color w:val="4F81BD" w:themeColor="accent1"/>
          <w:sz w:val="28"/>
          <w:szCs w:val="28"/>
        </w:rPr>
      </w:pPr>
      <w:r w:rsidRPr="0036528B">
        <w:rPr>
          <w:rFonts w:ascii="Calibri" w:eastAsia="Calibri" w:hAnsi="Calibri" w:cs="Calibri"/>
          <w:b/>
          <w:iCs/>
          <w:color w:val="4F81BD" w:themeColor="accent1"/>
          <w:sz w:val="28"/>
          <w:szCs w:val="28"/>
        </w:rPr>
        <w:t xml:space="preserve">FREQUENCY OF TELEHEALTH CHART AUDITS </w:t>
      </w:r>
    </w:p>
    <w:p w14:paraId="3A63FBC2" w14:textId="120C0273" w:rsidR="00FE13FA" w:rsidRPr="00C0287C" w:rsidRDefault="008F14B9">
      <w:pPr>
        <w:rPr>
          <w:rFonts w:ascii="Calibri" w:eastAsia="Calibri" w:hAnsi="Calibri" w:cs="Calibri"/>
          <w:color w:val="262626" w:themeColor="text1" w:themeTint="D9"/>
          <w:sz w:val="24"/>
          <w:szCs w:val="24"/>
        </w:rPr>
      </w:pPr>
      <w:r w:rsidRPr="00C0287C">
        <w:rPr>
          <w:rFonts w:ascii="Calibri" w:eastAsia="Calibri" w:hAnsi="Calibri" w:cs="Calibri"/>
          <w:color w:val="262626" w:themeColor="text1" w:themeTint="D9"/>
          <w:sz w:val="24"/>
          <w:szCs w:val="24"/>
        </w:rPr>
        <w:t xml:space="preserve">The frequency of chart audits </w:t>
      </w:r>
      <w:r w:rsidR="00963CD1">
        <w:rPr>
          <w:rFonts w:ascii="Calibri" w:eastAsia="Calibri" w:hAnsi="Calibri" w:cs="Calibri"/>
          <w:color w:val="262626" w:themeColor="text1" w:themeTint="D9"/>
          <w:sz w:val="24"/>
          <w:szCs w:val="24"/>
        </w:rPr>
        <w:t xml:space="preserve">may </w:t>
      </w:r>
      <w:r w:rsidRPr="00C0287C">
        <w:rPr>
          <w:rFonts w:ascii="Calibri" w:eastAsia="Calibri" w:hAnsi="Calibri" w:cs="Calibri"/>
          <w:color w:val="262626" w:themeColor="text1" w:themeTint="D9"/>
          <w:sz w:val="24"/>
          <w:szCs w:val="24"/>
        </w:rPr>
        <w:t xml:space="preserve">be determined by the Title X agency and key staff involved. It may be helpful to conduct chart audits more frequently at first and then scale back to conducting them on a quarterly or less frequent basis, as providers and staff become more familiar with conducting visits via telehealth. The frequency and timing of chart audits should be aligned with an agency’s revenue cycle management process and timing, so as a claim is processed (paid or unpaid) by third-party payers, staff review all records for a client’s telehealth visits. </w:t>
      </w:r>
    </w:p>
    <w:p w14:paraId="28BE0A50" w14:textId="77777777" w:rsidR="00FE13FA" w:rsidRDefault="00FE13FA">
      <w:pPr>
        <w:rPr>
          <w:rFonts w:ascii="Calibri" w:eastAsia="Calibri" w:hAnsi="Calibri" w:cs="Calibri"/>
          <w:sz w:val="24"/>
          <w:szCs w:val="24"/>
        </w:rPr>
      </w:pPr>
    </w:p>
    <w:p w14:paraId="13ADAD84" w14:textId="77777777" w:rsidR="00FE13FA" w:rsidRPr="00C0287C" w:rsidRDefault="008F14B9">
      <w:pPr>
        <w:rPr>
          <w:rFonts w:ascii="Calibri" w:eastAsia="Calibri" w:hAnsi="Calibri" w:cs="Calibri"/>
          <w:i/>
          <w:iCs/>
          <w:color w:val="262626" w:themeColor="text1" w:themeTint="D9"/>
          <w:sz w:val="24"/>
          <w:szCs w:val="24"/>
        </w:rPr>
      </w:pPr>
      <w:r w:rsidRPr="00C0287C">
        <w:rPr>
          <w:rFonts w:ascii="Calibri" w:eastAsia="Calibri" w:hAnsi="Calibri" w:cs="Calibri"/>
          <w:i/>
          <w:iCs/>
          <w:color w:val="262626" w:themeColor="text1" w:themeTint="D9"/>
          <w:sz w:val="24"/>
          <w:szCs w:val="24"/>
        </w:rPr>
        <w:t xml:space="preserve">Below is a sample chart audit tool that Title X agency staff can customize for their settings—adding their agency’s name, logo, and additional tips and steps specific to the agency. </w:t>
      </w:r>
    </w:p>
    <w:p w14:paraId="08E65C60" w14:textId="77777777" w:rsidR="00FE13FA" w:rsidRDefault="00FE13FA">
      <w:pPr>
        <w:rPr>
          <w:rFonts w:ascii="Calibri" w:eastAsia="Calibri" w:hAnsi="Calibri" w:cs="Calibri"/>
          <w:sz w:val="24"/>
          <w:szCs w:val="24"/>
        </w:rPr>
      </w:pPr>
    </w:p>
    <w:p w14:paraId="0E29A807" w14:textId="6F1FBCB1" w:rsidR="0036528B" w:rsidRPr="0036528B" w:rsidRDefault="00C0287C">
      <w:pPr>
        <w:rPr>
          <w:rFonts w:ascii="Calibri" w:eastAsia="Calibri" w:hAnsi="Calibri" w:cs="Calibri"/>
          <w:b/>
          <w:iCs/>
          <w:color w:val="4F81BD" w:themeColor="accent1"/>
          <w:sz w:val="32"/>
          <w:szCs w:val="32"/>
        </w:rPr>
      </w:pPr>
      <w:r w:rsidRPr="0036528B">
        <w:rPr>
          <w:rFonts w:ascii="Calibri" w:eastAsia="Calibri" w:hAnsi="Calibri" w:cs="Calibri"/>
          <w:b/>
          <w:iCs/>
          <w:color w:val="4F81BD" w:themeColor="accent1"/>
          <w:sz w:val="32"/>
          <w:szCs w:val="32"/>
        </w:rPr>
        <w:t>SAMPLE CHART AUDIT</w:t>
      </w:r>
    </w:p>
    <w:p w14:paraId="2784C9CC" w14:textId="4B503488" w:rsidR="0036528B" w:rsidRPr="0036528B" w:rsidRDefault="0036528B">
      <w:pPr>
        <w:rPr>
          <w:rFonts w:ascii="Calibri" w:eastAsia="Calibri" w:hAnsi="Calibri" w:cs="Calibri"/>
          <w:b/>
          <w:color w:val="262626" w:themeColor="text1" w:themeTint="D9"/>
          <w:sz w:val="24"/>
          <w:szCs w:val="24"/>
        </w:rPr>
      </w:pPr>
      <w:r w:rsidRPr="0036528B">
        <w:rPr>
          <w:rFonts w:ascii="Calibri" w:eastAsia="Calibri" w:hAnsi="Calibri" w:cs="Calibri"/>
          <w:b/>
          <w:color w:val="262626" w:themeColor="text1" w:themeTint="D9"/>
          <w:sz w:val="24"/>
          <w:szCs w:val="24"/>
        </w:rPr>
        <w:t xml:space="preserve">AGENCY:  </w:t>
      </w:r>
    </w:p>
    <w:tbl>
      <w:tblPr>
        <w:tblStyle w:val="a"/>
        <w:tblW w:w="12945" w:type="dxa"/>
        <w:tblLayout w:type="fixed"/>
        <w:tblLook w:val="0600" w:firstRow="0" w:lastRow="0" w:firstColumn="0" w:lastColumn="0" w:noHBand="1" w:noVBand="1"/>
        <w:tblDescription w:val="sample chart audit "/>
      </w:tblPr>
      <w:tblGrid>
        <w:gridCol w:w="2340"/>
        <w:gridCol w:w="1530"/>
        <w:gridCol w:w="1080"/>
        <w:gridCol w:w="1350"/>
        <w:gridCol w:w="1260"/>
        <w:gridCol w:w="1440"/>
        <w:gridCol w:w="1350"/>
        <w:gridCol w:w="2595"/>
      </w:tblGrid>
      <w:tr w:rsidR="0036528B" w14:paraId="77FC7CE0" w14:textId="77777777" w:rsidTr="009F2B06">
        <w:trPr>
          <w:trHeight w:val="915"/>
          <w:tblHeader/>
        </w:trPr>
        <w:tc>
          <w:tcPr>
            <w:tcW w:w="2340" w:type="dxa"/>
            <w:tcBorders>
              <w:bottom w:val="single" w:sz="12" w:space="0" w:color="595959" w:themeColor="text1" w:themeTint="A6"/>
            </w:tcBorders>
            <w:shd w:val="clear" w:color="auto" w:fill="auto"/>
            <w:tcMar>
              <w:top w:w="100" w:type="dxa"/>
              <w:left w:w="100" w:type="dxa"/>
              <w:bottom w:w="100" w:type="dxa"/>
              <w:right w:w="100" w:type="dxa"/>
            </w:tcMar>
          </w:tcPr>
          <w:p w14:paraId="10E6073F" w14:textId="5082971D" w:rsidR="00FE13FA" w:rsidRPr="00C0287C" w:rsidRDefault="0036528B"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bookmarkStart w:id="0" w:name="_GoBack" w:colFirst="0" w:colLast="8"/>
            <w:r w:rsidRPr="00C0287C">
              <w:rPr>
                <w:rFonts w:ascii="Calibri" w:eastAsia="Calibri" w:hAnsi="Calibri" w:cs="Calibri"/>
                <w:b/>
                <w:sz w:val="20"/>
                <w:szCs w:val="20"/>
              </w:rPr>
              <w:t>CLINICIAN</w:t>
            </w:r>
          </w:p>
        </w:tc>
        <w:tc>
          <w:tcPr>
            <w:tcW w:w="1530" w:type="dxa"/>
            <w:tcBorders>
              <w:bottom w:val="single" w:sz="12" w:space="0" w:color="595959" w:themeColor="text1" w:themeTint="A6"/>
            </w:tcBorders>
            <w:shd w:val="clear" w:color="auto" w:fill="F2F2F2" w:themeFill="background1" w:themeFillShade="F2"/>
            <w:tcMar>
              <w:top w:w="100" w:type="dxa"/>
              <w:left w:w="100" w:type="dxa"/>
              <w:bottom w:w="100" w:type="dxa"/>
              <w:right w:w="100" w:type="dxa"/>
            </w:tcMar>
          </w:tcPr>
          <w:p w14:paraId="63B0AB9D" w14:textId="62040B78" w:rsidR="00FE13FA" w:rsidRPr="00C0287C" w:rsidRDefault="008F14B9"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 xml:space="preserve">ID # </w:t>
            </w:r>
            <w:r w:rsidR="00C0287C">
              <w:rPr>
                <w:rFonts w:ascii="Calibri" w:eastAsia="Calibri" w:hAnsi="Calibri" w:cs="Calibri"/>
                <w:b/>
                <w:sz w:val="20"/>
                <w:szCs w:val="20"/>
              </w:rPr>
              <w:br/>
            </w:r>
            <w:r w:rsidR="00C0287C">
              <w:rPr>
                <w:rFonts w:ascii="Calibri" w:eastAsia="Calibri" w:hAnsi="Calibri" w:cs="Calibri"/>
                <w:bCs/>
                <w:i/>
                <w:iCs/>
                <w:sz w:val="16"/>
                <w:szCs w:val="16"/>
              </w:rPr>
              <w:t>(c</w:t>
            </w:r>
            <w:r w:rsidRPr="00C0287C">
              <w:rPr>
                <w:rFonts w:ascii="Calibri" w:eastAsia="Calibri" w:hAnsi="Calibri" w:cs="Calibri"/>
                <w:bCs/>
                <w:i/>
                <w:iCs/>
                <w:sz w:val="16"/>
                <w:szCs w:val="16"/>
              </w:rPr>
              <w:t>an be patient ID number, medical record)</w:t>
            </w:r>
          </w:p>
        </w:tc>
        <w:tc>
          <w:tcPr>
            <w:tcW w:w="1080" w:type="dxa"/>
            <w:tcBorders>
              <w:bottom w:val="single" w:sz="12" w:space="0" w:color="595959" w:themeColor="text1" w:themeTint="A6"/>
            </w:tcBorders>
            <w:shd w:val="clear" w:color="auto" w:fill="auto"/>
            <w:tcMar>
              <w:top w:w="100" w:type="dxa"/>
              <w:left w:w="100" w:type="dxa"/>
              <w:bottom w:w="100" w:type="dxa"/>
              <w:right w:w="100" w:type="dxa"/>
            </w:tcMar>
          </w:tcPr>
          <w:p w14:paraId="0BB49AED" w14:textId="488A595F" w:rsidR="00FE13FA" w:rsidRPr="00C0287C" w:rsidRDefault="0036528B"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DATE</w:t>
            </w:r>
          </w:p>
        </w:tc>
        <w:tc>
          <w:tcPr>
            <w:tcW w:w="1350" w:type="dxa"/>
            <w:tcBorders>
              <w:bottom w:val="single" w:sz="12" w:space="0" w:color="595959" w:themeColor="text1" w:themeTint="A6"/>
            </w:tcBorders>
            <w:shd w:val="clear" w:color="auto" w:fill="F2F2F2" w:themeFill="background1" w:themeFillShade="F2"/>
            <w:tcMar>
              <w:top w:w="100" w:type="dxa"/>
              <w:left w:w="100" w:type="dxa"/>
              <w:bottom w:w="100" w:type="dxa"/>
              <w:right w:w="100" w:type="dxa"/>
            </w:tcMar>
          </w:tcPr>
          <w:p w14:paraId="2AA8375D" w14:textId="79DD5E1A" w:rsidR="00FE13FA" w:rsidRPr="00C0287C" w:rsidRDefault="0036528B"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VISIT TYPE</w:t>
            </w:r>
          </w:p>
        </w:tc>
        <w:tc>
          <w:tcPr>
            <w:tcW w:w="1260" w:type="dxa"/>
            <w:tcBorders>
              <w:bottom w:val="single" w:sz="12" w:space="0" w:color="595959" w:themeColor="text1" w:themeTint="A6"/>
            </w:tcBorders>
            <w:shd w:val="clear" w:color="auto" w:fill="auto"/>
            <w:tcMar>
              <w:top w:w="100" w:type="dxa"/>
              <w:left w:w="100" w:type="dxa"/>
              <w:bottom w:w="100" w:type="dxa"/>
              <w:right w:w="100" w:type="dxa"/>
            </w:tcMar>
          </w:tcPr>
          <w:p w14:paraId="1260A648" w14:textId="76D6A82D" w:rsidR="00FE13FA" w:rsidRPr="00C0287C" w:rsidRDefault="008F14B9"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 xml:space="preserve">Telehealth </w:t>
            </w:r>
            <w:r w:rsidR="00AE196B">
              <w:rPr>
                <w:rFonts w:ascii="Calibri" w:eastAsia="Calibri" w:hAnsi="Calibri" w:cs="Calibri"/>
                <w:b/>
                <w:sz w:val="20"/>
                <w:szCs w:val="20"/>
              </w:rPr>
              <w:t>c</w:t>
            </w:r>
            <w:r w:rsidRPr="00C0287C">
              <w:rPr>
                <w:rFonts w:ascii="Calibri" w:eastAsia="Calibri" w:hAnsi="Calibri" w:cs="Calibri"/>
                <w:b/>
                <w:sz w:val="20"/>
                <w:szCs w:val="20"/>
              </w:rPr>
              <w:t xml:space="preserve">onsent signed? </w:t>
            </w:r>
            <w:r w:rsidRPr="00C0287C">
              <w:rPr>
                <w:rFonts w:ascii="Calibri" w:eastAsia="Calibri" w:hAnsi="Calibri" w:cs="Calibri"/>
                <w:bCs/>
                <w:i/>
                <w:iCs/>
                <w:sz w:val="16"/>
                <w:szCs w:val="16"/>
              </w:rPr>
              <w:t>(Y</w:t>
            </w:r>
            <w:r w:rsidR="00C0287C">
              <w:rPr>
                <w:rFonts w:ascii="Calibri" w:eastAsia="Calibri" w:hAnsi="Calibri" w:cs="Calibri"/>
                <w:bCs/>
                <w:i/>
                <w:iCs/>
                <w:sz w:val="16"/>
                <w:szCs w:val="16"/>
              </w:rPr>
              <w:t>es</w:t>
            </w:r>
            <w:r w:rsidRPr="00C0287C">
              <w:rPr>
                <w:rFonts w:ascii="Calibri" w:eastAsia="Calibri" w:hAnsi="Calibri" w:cs="Calibri"/>
                <w:bCs/>
                <w:i/>
                <w:iCs/>
                <w:sz w:val="16"/>
                <w:szCs w:val="16"/>
              </w:rPr>
              <w:t>/N</w:t>
            </w:r>
            <w:r w:rsidR="00C0287C">
              <w:rPr>
                <w:rFonts w:ascii="Calibri" w:eastAsia="Calibri" w:hAnsi="Calibri" w:cs="Calibri"/>
                <w:bCs/>
                <w:i/>
                <w:iCs/>
                <w:sz w:val="16"/>
                <w:szCs w:val="16"/>
              </w:rPr>
              <w:t>o</w:t>
            </w:r>
            <w:r w:rsidRPr="00C0287C">
              <w:rPr>
                <w:rFonts w:ascii="Calibri" w:eastAsia="Calibri" w:hAnsi="Calibri" w:cs="Calibri"/>
                <w:bCs/>
                <w:i/>
                <w:iCs/>
                <w:sz w:val="16"/>
                <w:szCs w:val="16"/>
              </w:rPr>
              <w:t>)</w:t>
            </w:r>
          </w:p>
        </w:tc>
        <w:tc>
          <w:tcPr>
            <w:tcW w:w="1440" w:type="dxa"/>
            <w:tcBorders>
              <w:bottom w:val="single" w:sz="12" w:space="0" w:color="595959" w:themeColor="text1" w:themeTint="A6"/>
            </w:tcBorders>
            <w:shd w:val="clear" w:color="auto" w:fill="F2F2F2" w:themeFill="background1" w:themeFillShade="F2"/>
            <w:tcMar>
              <w:top w:w="100" w:type="dxa"/>
              <w:left w:w="100" w:type="dxa"/>
              <w:bottom w:w="100" w:type="dxa"/>
              <w:right w:w="100" w:type="dxa"/>
            </w:tcMar>
          </w:tcPr>
          <w:p w14:paraId="20D7D42D" w14:textId="238A1042" w:rsidR="00FE13FA" w:rsidRPr="00C0287C" w:rsidRDefault="008F14B9"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 xml:space="preserve">Does E&amp;M </w:t>
            </w:r>
            <w:r w:rsidR="0036528B">
              <w:rPr>
                <w:rFonts w:ascii="Calibri" w:eastAsia="Calibri" w:hAnsi="Calibri" w:cs="Calibri"/>
                <w:b/>
                <w:sz w:val="20"/>
                <w:szCs w:val="20"/>
              </w:rPr>
              <w:t>c</w:t>
            </w:r>
            <w:r w:rsidRPr="00C0287C">
              <w:rPr>
                <w:rFonts w:ascii="Calibri" w:eastAsia="Calibri" w:hAnsi="Calibri" w:cs="Calibri"/>
                <w:b/>
                <w:sz w:val="20"/>
                <w:szCs w:val="20"/>
              </w:rPr>
              <w:t xml:space="preserve">ode(s) </w:t>
            </w:r>
            <w:r w:rsidR="0036528B">
              <w:rPr>
                <w:rFonts w:ascii="Calibri" w:eastAsia="Calibri" w:hAnsi="Calibri" w:cs="Calibri"/>
                <w:b/>
                <w:sz w:val="20"/>
                <w:szCs w:val="20"/>
              </w:rPr>
              <w:t>r</w:t>
            </w:r>
            <w:r w:rsidRPr="00C0287C">
              <w:rPr>
                <w:rFonts w:ascii="Calibri" w:eastAsia="Calibri" w:hAnsi="Calibri" w:cs="Calibri"/>
                <w:b/>
                <w:sz w:val="20"/>
                <w:szCs w:val="20"/>
              </w:rPr>
              <w:t xml:space="preserve">eflect </w:t>
            </w:r>
            <w:r w:rsidR="0036528B">
              <w:rPr>
                <w:rFonts w:ascii="Calibri" w:eastAsia="Calibri" w:hAnsi="Calibri" w:cs="Calibri"/>
                <w:b/>
                <w:sz w:val="20"/>
                <w:szCs w:val="20"/>
              </w:rPr>
              <w:t>s</w:t>
            </w:r>
            <w:r w:rsidRPr="00C0287C">
              <w:rPr>
                <w:rFonts w:ascii="Calibri" w:eastAsia="Calibri" w:hAnsi="Calibri" w:cs="Calibri"/>
                <w:b/>
                <w:sz w:val="20"/>
                <w:szCs w:val="20"/>
              </w:rPr>
              <w:t>ervices</w:t>
            </w:r>
            <w:r w:rsidR="0036528B">
              <w:rPr>
                <w:rFonts w:ascii="Calibri" w:eastAsia="Calibri" w:hAnsi="Calibri" w:cs="Calibri"/>
                <w:b/>
                <w:sz w:val="20"/>
                <w:szCs w:val="20"/>
              </w:rPr>
              <w:t>?</w:t>
            </w:r>
            <w:r w:rsidR="0036528B">
              <w:rPr>
                <w:rFonts w:ascii="Calibri" w:eastAsia="Calibri" w:hAnsi="Calibri" w:cs="Calibri"/>
                <w:b/>
                <w:sz w:val="20"/>
                <w:szCs w:val="20"/>
              </w:rPr>
              <w:br/>
            </w:r>
            <w:r w:rsidR="00C0287C" w:rsidRPr="00C0287C">
              <w:rPr>
                <w:rFonts w:ascii="Calibri" w:eastAsia="Calibri" w:hAnsi="Calibri" w:cs="Calibri"/>
                <w:bCs/>
                <w:i/>
                <w:iCs/>
                <w:sz w:val="16"/>
                <w:szCs w:val="16"/>
              </w:rPr>
              <w:t>(Y</w:t>
            </w:r>
            <w:r w:rsidR="00C0287C">
              <w:rPr>
                <w:rFonts w:ascii="Calibri" w:eastAsia="Calibri" w:hAnsi="Calibri" w:cs="Calibri"/>
                <w:bCs/>
                <w:i/>
                <w:iCs/>
                <w:sz w:val="16"/>
                <w:szCs w:val="16"/>
              </w:rPr>
              <w:t>es</w:t>
            </w:r>
            <w:r w:rsidR="00C0287C" w:rsidRPr="00C0287C">
              <w:rPr>
                <w:rFonts w:ascii="Calibri" w:eastAsia="Calibri" w:hAnsi="Calibri" w:cs="Calibri"/>
                <w:bCs/>
                <w:i/>
                <w:iCs/>
                <w:sz w:val="16"/>
                <w:szCs w:val="16"/>
              </w:rPr>
              <w:t>/N</w:t>
            </w:r>
            <w:r w:rsidR="00C0287C">
              <w:rPr>
                <w:rFonts w:ascii="Calibri" w:eastAsia="Calibri" w:hAnsi="Calibri" w:cs="Calibri"/>
                <w:bCs/>
                <w:i/>
                <w:iCs/>
                <w:sz w:val="16"/>
                <w:szCs w:val="16"/>
              </w:rPr>
              <w:t>o</w:t>
            </w:r>
            <w:r w:rsidR="00C0287C" w:rsidRPr="00C0287C">
              <w:rPr>
                <w:rFonts w:ascii="Calibri" w:eastAsia="Calibri" w:hAnsi="Calibri" w:cs="Calibri"/>
                <w:bCs/>
                <w:i/>
                <w:iCs/>
                <w:sz w:val="16"/>
                <w:szCs w:val="16"/>
              </w:rPr>
              <w:t>)</w:t>
            </w:r>
          </w:p>
        </w:tc>
        <w:tc>
          <w:tcPr>
            <w:tcW w:w="1350" w:type="dxa"/>
            <w:tcBorders>
              <w:bottom w:val="single" w:sz="12" w:space="0" w:color="595959" w:themeColor="text1" w:themeTint="A6"/>
            </w:tcBorders>
            <w:shd w:val="clear" w:color="auto" w:fill="auto"/>
            <w:tcMar>
              <w:top w:w="100" w:type="dxa"/>
              <w:left w:w="100" w:type="dxa"/>
              <w:bottom w:w="100" w:type="dxa"/>
              <w:right w:w="100" w:type="dxa"/>
            </w:tcMar>
          </w:tcPr>
          <w:p w14:paraId="12F388C9" w14:textId="7895213C" w:rsidR="00FE13FA" w:rsidRPr="00C0287C" w:rsidRDefault="008F14B9"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 xml:space="preserve">Time-based? </w:t>
            </w:r>
            <w:r w:rsidR="00C0287C" w:rsidRPr="00C0287C">
              <w:rPr>
                <w:rFonts w:ascii="Calibri" w:eastAsia="Calibri" w:hAnsi="Calibri" w:cs="Calibri"/>
                <w:bCs/>
                <w:i/>
                <w:iCs/>
                <w:sz w:val="16"/>
                <w:szCs w:val="16"/>
              </w:rPr>
              <w:t>(Y</w:t>
            </w:r>
            <w:r w:rsidR="00C0287C">
              <w:rPr>
                <w:rFonts w:ascii="Calibri" w:eastAsia="Calibri" w:hAnsi="Calibri" w:cs="Calibri"/>
                <w:bCs/>
                <w:i/>
                <w:iCs/>
                <w:sz w:val="16"/>
                <w:szCs w:val="16"/>
              </w:rPr>
              <w:t>es</w:t>
            </w:r>
            <w:r w:rsidR="00C0287C" w:rsidRPr="00C0287C">
              <w:rPr>
                <w:rFonts w:ascii="Calibri" w:eastAsia="Calibri" w:hAnsi="Calibri" w:cs="Calibri"/>
                <w:bCs/>
                <w:i/>
                <w:iCs/>
                <w:sz w:val="16"/>
                <w:szCs w:val="16"/>
              </w:rPr>
              <w:t>/N</w:t>
            </w:r>
            <w:r w:rsidR="0036528B">
              <w:rPr>
                <w:rFonts w:ascii="Calibri" w:eastAsia="Calibri" w:hAnsi="Calibri" w:cs="Calibri"/>
                <w:bCs/>
                <w:i/>
                <w:iCs/>
                <w:sz w:val="16"/>
                <w:szCs w:val="16"/>
              </w:rPr>
              <w:t>o</w:t>
            </w:r>
            <w:r w:rsidR="00C0287C" w:rsidRPr="00C0287C">
              <w:rPr>
                <w:rFonts w:ascii="Calibri" w:eastAsia="Calibri" w:hAnsi="Calibri" w:cs="Calibri"/>
                <w:bCs/>
                <w:i/>
                <w:iCs/>
                <w:sz w:val="16"/>
                <w:szCs w:val="16"/>
              </w:rPr>
              <w:t>)</w:t>
            </w:r>
          </w:p>
        </w:tc>
        <w:tc>
          <w:tcPr>
            <w:tcW w:w="2595" w:type="dxa"/>
            <w:tcBorders>
              <w:bottom w:val="single" w:sz="12" w:space="0" w:color="595959" w:themeColor="text1" w:themeTint="A6"/>
            </w:tcBorders>
            <w:shd w:val="clear" w:color="auto" w:fill="F2F2F2" w:themeFill="background1" w:themeFillShade="F2"/>
            <w:tcMar>
              <w:top w:w="100" w:type="dxa"/>
              <w:left w:w="100" w:type="dxa"/>
              <w:bottom w:w="100" w:type="dxa"/>
              <w:right w:w="100" w:type="dxa"/>
            </w:tcMar>
          </w:tcPr>
          <w:p w14:paraId="23D3309B" w14:textId="5EBED854" w:rsidR="00FE13FA" w:rsidRPr="00C0287C" w:rsidRDefault="008F14B9" w:rsidP="0036528B">
            <w:pPr>
              <w:widowControl w:val="0"/>
              <w:pBdr>
                <w:top w:val="nil"/>
                <w:left w:val="nil"/>
                <w:bottom w:val="nil"/>
                <w:right w:val="nil"/>
                <w:between w:val="nil"/>
              </w:pBdr>
              <w:spacing w:line="200" w:lineRule="exact"/>
              <w:jc w:val="center"/>
              <w:rPr>
                <w:rFonts w:ascii="Calibri" w:eastAsia="Calibri" w:hAnsi="Calibri" w:cs="Calibri"/>
                <w:b/>
                <w:sz w:val="20"/>
                <w:szCs w:val="20"/>
              </w:rPr>
            </w:pPr>
            <w:r w:rsidRPr="00C0287C">
              <w:rPr>
                <w:rFonts w:ascii="Calibri" w:eastAsia="Calibri" w:hAnsi="Calibri" w:cs="Calibri"/>
                <w:b/>
                <w:sz w:val="20"/>
                <w:szCs w:val="20"/>
              </w:rPr>
              <w:t xml:space="preserve">Opportunities for improvement </w:t>
            </w:r>
            <w:r w:rsidR="00C0287C" w:rsidRPr="00C0287C">
              <w:rPr>
                <w:rFonts w:ascii="Calibri" w:eastAsia="Calibri" w:hAnsi="Calibri" w:cs="Calibri"/>
                <w:b/>
                <w:sz w:val="20"/>
                <w:szCs w:val="20"/>
              </w:rPr>
              <w:br/>
            </w:r>
            <w:r w:rsidRPr="00C0287C">
              <w:rPr>
                <w:rFonts w:ascii="Calibri" w:eastAsia="Calibri" w:hAnsi="Calibri" w:cs="Calibri"/>
                <w:bCs/>
                <w:i/>
                <w:iCs/>
                <w:sz w:val="16"/>
                <w:szCs w:val="16"/>
              </w:rPr>
              <w:t>(e.g., missing detail in notes, elements clicked that are not possible via telehealth, etc.).</w:t>
            </w:r>
          </w:p>
        </w:tc>
      </w:tr>
      <w:bookmarkEnd w:id="0"/>
      <w:tr w:rsidR="0036528B" w14:paraId="161107EF" w14:textId="77777777" w:rsidTr="0036528B">
        <w:trPr>
          <w:trHeight w:val="665"/>
        </w:trPr>
        <w:tc>
          <w:tcPr>
            <w:tcW w:w="2340" w:type="dxa"/>
            <w:tcBorders>
              <w:top w:val="single" w:sz="12" w:space="0" w:color="595959" w:themeColor="text1" w:themeTint="A6"/>
              <w:bottom w:val="single" w:sz="2" w:space="0" w:color="404040" w:themeColor="text1" w:themeTint="BF"/>
            </w:tcBorders>
            <w:shd w:val="clear" w:color="auto" w:fill="auto"/>
            <w:tcMar>
              <w:top w:w="100" w:type="dxa"/>
              <w:left w:w="100" w:type="dxa"/>
              <w:bottom w:w="100" w:type="dxa"/>
              <w:right w:w="100" w:type="dxa"/>
            </w:tcMar>
          </w:tcPr>
          <w:p w14:paraId="2C4FA406"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530" w:type="dxa"/>
            <w:tcBorders>
              <w:top w:val="single" w:sz="12" w:space="0" w:color="595959" w:themeColor="text1" w:themeTint="A6"/>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06543D65"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080" w:type="dxa"/>
            <w:tcBorders>
              <w:top w:val="single" w:sz="12" w:space="0" w:color="595959" w:themeColor="text1" w:themeTint="A6"/>
              <w:bottom w:val="single" w:sz="2" w:space="0" w:color="404040" w:themeColor="text1" w:themeTint="BF"/>
            </w:tcBorders>
            <w:shd w:val="clear" w:color="auto" w:fill="auto"/>
            <w:tcMar>
              <w:top w:w="100" w:type="dxa"/>
              <w:left w:w="100" w:type="dxa"/>
              <w:bottom w:w="100" w:type="dxa"/>
              <w:right w:w="100" w:type="dxa"/>
            </w:tcMar>
          </w:tcPr>
          <w:p w14:paraId="68C3FC8B"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12" w:space="0" w:color="595959" w:themeColor="text1" w:themeTint="A6"/>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41BC4AD2"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260" w:type="dxa"/>
            <w:tcBorders>
              <w:top w:val="single" w:sz="12" w:space="0" w:color="595959" w:themeColor="text1" w:themeTint="A6"/>
              <w:bottom w:val="single" w:sz="2" w:space="0" w:color="404040" w:themeColor="text1" w:themeTint="BF"/>
            </w:tcBorders>
            <w:shd w:val="clear" w:color="auto" w:fill="auto"/>
            <w:tcMar>
              <w:top w:w="100" w:type="dxa"/>
              <w:left w:w="100" w:type="dxa"/>
              <w:bottom w:w="100" w:type="dxa"/>
              <w:right w:w="100" w:type="dxa"/>
            </w:tcMar>
          </w:tcPr>
          <w:p w14:paraId="6F8F2A76"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440" w:type="dxa"/>
            <w:tcBorders>
              <w:top w:val="single" w:sz="12" w:space="0" w:color="595959" w:themeColor="text1" w:themeTint="A6"/>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625CD857"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12" w:space="0" w:color="595959" w:themeColor="text1" w:themeTint="A6"/>
              <w:bottom w:val="single" w:sz="2" w:space="0" w:color="404040" w:themeColor="text1" w:themeTint="BF"/>
            </w:tcBorders>
            <w:shd w:val="clear" w:color="auto" w:fill="auto"/>
            <w:tcMar>
              <w:top w:w="100" w:type="dxa"/>
              <w:left w:w="100" w:type="dxa"/>
              <w:bottom w:w="100" w:type="dxa"/>
              <w:right w:w="100" w:type="dxa"/>
            </w:tcMar>
          </w:tcPr>
          <w:p w14:paraId="1EE47BF7"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2595" w:type="dxa"/>
            <w:tcBorders>
              <w:top w:val="single" w:sz="12" w:space="0" w:color="595959" w:themeColor="text1" w:themeTint="A6"/>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3E747DF5"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r>
      <w:tr w:rsidR="0036528B" w14:paraId="0D118B6B" w14:textId="77777777" w:rsidTr="0036528B">
        <w:trPr>
          <w:trHeight w:val="687"/>
        </w:trPr>
        <w:tc>
          <w:tcPr>
            <w:tcW w:w="234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266A0CD4"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53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4D7AF2E9"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08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00C5C2F1"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3DD4596A"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26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16770463"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44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6EF016D7"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0BA91DE2"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c>
          <w:tcPr>
            <w:tcW w:w="2595"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71EC309A" w14:textId="77777777" w:rsidR="00FE13FA" w:rsidRDefault="00FE13FA">
            <w:pPr>
              <w:widowControl w:val="0"/>
              <w:pBdr>
                <w:top w:val="nil"/>
                <w:left w:val="nil"/>
                <w:bottom w:val="nil"/>
                <w:right w:val="nil"/>
                <w:between w:val="nil"/>
              </w:pBdr>
              <w:spacing w:line="240" w:lineRule="auto"/>
              <w:rPr>
                <w:rFonts w:ascii="Calibri" w:eastAsia="Calibri" w:hAnsi="Calibri" w:cs="Calibri"/>
              </w:rPr>
            </w:pPr>
          </w:p>
        </w:tc>
      </w:tr>
      <w:tr w:rsidR="0036528B" w14:paraId="0127622B" w14:textId="77777777" w:rsidTr="0036528B">
        <w:trPr>
          <w:trHeight w:val="705"/>
        </w:trPr>
        <w:tc>
          <w:tcPr>
            <w:tcW w:w="234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751E4AEE"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53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262D7C1B"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08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39FEE429"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0283D642"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26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16BF61E5"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44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471B3F59"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7B5A09CD"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2595"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483700D2"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r>
      <w:tr w:rsidR="0036528B" w14:paraId="1963CC29" w14:textId="77777777" w:rsidTr="008D5096">
        <w:trPr>
          <w:trHeight w:val="705"/>
        </w:trPr>
        <w:tc>
          <w:tcPr>
            <w:tcW w:w="234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5EEDB1FC"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53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5FD1EA63"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08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1319B51B"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5C4577D1"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26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701270CD"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440"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0E7E6D8C"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bottom w:val="single" w:sz="2" w:space="0" w:color="404040" w:themeColor="text1" w:themeTint="BF"/>
            </w:tcBorders>
            <w:shd w:val="clear" w:color="auto" w:fill="auto"/>
            <w:tcMar>
              <w:top w:w="100" w:type="dxa"/>
              <w:left w:w="100" w:type="dxa"/>
              <w:bottom w:w="100" w:type="dxa"/>
              <w:right w:w="100" w:type="dxa"/>
            </w:tcMar>
          </w:tcPr>
          <w:p w14:paraId="233D5E1E"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2595" w:type="dxa"/>
            <w:tcBorders>
              <w:top w:val="single" w:sz="2" w:space="0" w:color="404040" w:themeColor="text1" w:themeTint="BF"/>
              <w:bottom w:val="single" w:sz="2" w:space="0" w:color="404040" w:themeColor="text1" w:themeTint="BF"/>
            </w:tcBorders>
            <w:shd w:val="clear" w:color="auto" w:fill="F2F2F2" w:themeFill="background1" w:themeFillShade="F2"/>
            <w:tcMar>
              <w:top w:w="100" w:type="dxa"/>
              <w:left w:w="100" w:type="dxa"/>
              <w:bottom w:w="100" w:type="dxa"/>
              <w:right w:w="100" w:type="dxa"/>
            </w:tcMar>
          </w:tcPr>
          <w:p w14:paraId="0450589A"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r>
      <w:tr w:rsidR="0036528B" w14:paraId="741A74F8" w14:textId="77777777" w:rsidTr="008D5096">
        <w:trPr>
          <w:trHeight w:val="633"/>
        </w:trPr>
        <w:tc>
          <w:tcPr>
            <w:tcW w:w="2340" w:type="dxa"/>
            <w:tcBorders>
              <w:top w:val="single" w:sz="2" w:space="0" w:color="404040" w:themeColor="text1" w:themeTint="BF"/>
            </w:tcBorders>
            <w:shd w:val="clear" w:color="auto" w:fill="auto"/>
            <w:tcMar>
              <w:top w:w="100" w:type="dxa"/>
              <w:left w:w="100" w:type="dxa"/>
              <w:bottom w:w="100" w:type="dxa"/>
              <w:right w:w="100" w:type="dxa"/>
            </w:tcMar>
          </w:tcPr>
          <w:p w14:paraId="249C0DEC"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530" w:type="dxa"/>
            <w:tcBorders>
              <w:top w:val="single" w:sz="2" w:space="0" w:color="404040" w:themeColor="text1" w:themeTint="BF"/>
            </w:tcBorders>
            <w:shd w:val="clear" w:color="auto" w:fill="F2F2F2" w:themeFill="background1" w:themeFillShade="F2"/>
            <w:tcMar>
              <w:top w:w="100" w:type="dxa"/>
              <w:left w:w="100" w:type="dxa"/>
              <w:bottom w:w="100" w:type="dxa"/>
              <w:right w:w="100" w:type="dxa"/>
            </w:tcMar>
          </w:tcPr>
          <w:p w14:paraId="11CEE616"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080" w:type="dxa"/>
            <w:tcBorders>
              <w:top w:val="single" w:sz="2" w:space="0" w:color="404040" w:themeColor="text1" w:themeTint="BF"/>
            </w:tcBorders>
            <w:shd w:val="clear" w:color="auto" w:fill="auto"/>
            <w:tcMar>
              <w:top w:w="100" w:type="dxa"/>
              <w:left w:w="100" w:type="dxa"/>
              <w:bottom w:w="100" w:type="dxa"/>
              <w:right w:w="100" w:type="dxa"/>
            </w:tcMar>
          </w:tcPr>
          <w:p w14:paraId="495D9B2E"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tcBorders>
            <w:shd w:val="clear" w:color="auto" w:fill="F2F2F2" w:themeFill="background1" w:themeFillShade="F2"/>
            <w:tcMar>
              <w:top w:w="100" w:type="dxa"/>
              <w:left w:w="100" w:type="dxa"/>
              <w:bottom w:w="100" w:type="dxa"/>
              <w:right w:w="100" w:type="dxa"/>
            </w:tcMar>
          </w:tcPr>
          <w:p w14:paraId="27170E9A"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260" w:type="dxa"/>
            <w:tcBorders>
              <w:top w:val="single" w:sz="2" w:space="0" w:color="404040" w:themeColor="text1" w:themeTint="BF"/>
            </w:tcBorders>
            <w:shd w:val="clear" w:color="auto" w:fill="auto"/>
            <w:tcMar>
              <w:top w:w="100" w:type="dxa"/>
              <w:left w:w="100" w:type="dxa"/>
              <w:bottom w:w="100" w:type="dxa"/>
              <w:right w:w="100" w:type="dxa"/>
            </w:tcMar>
          </w:tcPr>
          <w:p w14:paraId="3A97EA16"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440" w:type="dxa"/>
            <w:tcBorders>
              <w:top w:val="single" w:sz="2" w:space="0" w:color="404040" w:themeColor="text1" w:themeTint="BF"/>
            </w:tcBorders>
            <w:shd w:val="clear" w:color="auto" w:fill="F2F2F2" w:themeFill="background1" w:themeFillShade="F2"/>
            <w:tcMar>
              <w:top w:w="100" w:type="dxa"/>
              <w:left w:w="100" w:type="dxa"/>
              <w:bottom w:w="100" w:type="dxa"/>
              <w:right w:w="100" w:type="dxa"/>
            </w:tcMar>
          </w:tcPr>
          <w:p w14:paraId="70FC140C"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tcBorders>
              <w:top w:val="single" w:sz="2" w:space="0" w:color="404040" w:themeColor="text1" w:themeTint="BF"/>
            </w:tcBorders>
            <w:shd w:val="clear" w:color="auto" w:fill="auto"/>
            <w:tcMar>
              <w:top w:w="100" w:type="dxa"/>
              <w:left w:w="100" w:type="dxa"/>
              <w:bottom w:w="100" w:type="dxa"/>
              <w:right w:w="100" w:type="dxa"/>
            </w:tcMar>
          </w:tcPr>
          <w:p w14:paraId="119A0A32"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2595" w:type="dxa"/>
            <w:tcBorders>
              <w:top w:val="single" w:sz="2" w:space="0" w:color="404040" w:themeColor="text1" w:themeTint="BF"/>
            </w:tcBorders>
            <w:shd w:val="clear" w:color="auto" w:fill="F2F2F2" w:themeFill="background1" w:themeFillShade="F2"/>
            <w:tcMar>
              <w:top w:w="100" w:type="dxa"/>
              <w:left w:w="100" w:type="dxa"/>
              <w:bottom w:w="100" w:type="dxa"/>
              <w:right w:w="100" w:type="dxa"/>
            </w:tcMar>
          </w:tcPr>
          <w:p w14:paraId="5D85E120"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r>
      <w:tr w:rsidR="0036528B" w14:paraId="00F60723" w14:textId="77777777" w:rsidTr="0036528B">
        <w:tc>
          <w:tcPr>
            <w:tcW w:w="2340" w:type="dxa"/>
            <w:shd w:val="clear" w:color="auto" w:fill="auto"/>
            <w:tcMar>
              <w:top w:w="100" w:type="dxa"/>
              <w:left w:w="100" w:type="dxa"/>
              <w:bottom w:w="100" w:type="dxa"/>
              <w:right w:w="100" w:type="dxa"/>
            </w:tcMar>
          </w:tcPr>
          <w:p w14:paraId="360640F6"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530" w:type="dxa"/>
            <w:shd w:val="clear" w:color="auto" w:fill="auto"/>
            <w:tcMar>
              <w:top w:w="100" w:type="dxa"/>
              <w:left w:w="100" w:type="dxa"/>
              <w:bottom w:w="100" w:type="dxa"/>
              <w:right w:w="100" w:type="dxa"/>
            </w:tcMar>
          </w:tcPr>
          <w:p w14:paraId="28F6E261"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080" w:type="dxa"/>
            <w:shd w:val="clear" w:color="auto" w:fill="auto"/>
            <w:tcMar>
              <w:top w:w="100" w:type="dxa"/>
              <w:left w:w="100" w:type="dxa"/>
              <w:bottom w:w="100" w:type="dxa"/>
              <w:right w:w="100" w:type="dxa"/>
            </w:tcMar>
          </w:tcPr>
          <w:p w14:paraId="225761E1"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0D52C8E3"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3BF15F44"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440" w:type="dxa"/>
            <w:shd w:val="clear" w:color="auto" w:fill="auto"/>
            <w:tcMar>
              <w:top w:w="100" w:type="dxa"/>
              <w:left w:w="100" w:type="dxa"/>
              <w:bottom w:w="100" w:type="dxa"/>
              <w:right w:w="100" w:type="dxa"/>
            </w:tcMar>
          </w:tcPr>
          <w:p w14:paraId="35E09363"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03831516"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c>
          <w:tcPr>
            <w:tcW w:w="2595" w:type="dxa"/>
            <w:shd w:val="clear" w:color="auto" w:fill="auto"/>
            <w:tcMar>
              <w:top w:w="100" w:type="dxa"/>
              <w:left w:w="100" w:type="dxa"/>
              <w:bottom w:w="100" w:type="dxa"/>
              <w:right w:w="100" w:type="dxa"/>
            </w:tcMar>
          </w:tcPr>
          <w:p w14:paraId="56CC917B" w14:textId="77777777" w:rsidR="0036528B" w:rsidRDefault="0036528B" w:rsidP="0036528B">
            <w:pPr>
              <w:widowControl w:val="0"/>
              <w:pBdr>
                <w:top w:val="nil"/>
                <w:left w:val="nil"/>
                <w:bottom w:val="nil"/>
                <w:right w:val="nil"/>
                <w:between w:val="nil"/>
              </w:pBdr>
              <w:spacing w:line="240" w:lineRule="auto"/>
              <w:rPr>
                <w:rFonts w:ascii="Calibri" w:eastAsia="Calibri" w:hAnsi="Calibri" w:cs="Calibri"/>
              </w:rPr>
            </w:pPr>
          </w:p>
        </w:tc>
      </w:tr>
    </w:tbl>
    <w:p w14:paraId="34D37565" w14:textId="36FCF96D" w:rsidR="00FE13FA" w:rsidRPr="0036528B" w:rsidRDefault="008F14B9">
      <w:pPr>
        <w:rPr>
          <w:rFonts w:ascii="Calibri" w:eastAsia="Calibri" w:hAnsi="Calibri" w:cs="Calibri"/>
          <w:i/>
          <w:color w:val="262626" w:themeColor="text1" w:themeTint="D9"/>
          <w:sz w:val="20"/>
          <w:szCs w:val="20"/>
        </w:rPr>
      </w:pPr>
      <w:r w:rsidRPr="0036528B">
        <w:rPr>
          <w:rFonts w:ascii="Calibri" w:eastAsia="Calibri" w:hAnsi="Calibri" w:cs="Calibri"/>
          <w:i/>
          <w:color w:val="262626" w:themeColor="text1" w:themeTint="D9"/>
          <w:sz w:val="20"/>
          <w:szCs w:val="20"/>
        </w:rPr>
        <w:t>Adapted with permission from a Maine Family Planning</w:t>
      </w:r>
      <w:r w:rsidR="008A37A9">
        <w:rPr>
          <w:rFonts w:ascii="Calibri" w:eastAsia="Calibri" w:hAnsi="Calibri" w:cs="Calibri"/>
          <w:i/>
          <w:color w:val="262626" w:themeColor="text1" w:themeTint="D9"/>
          <w:sz w:val="20"/>
          <w:szCs w:val="20"/>
        </w:rPr>
        <w:t xml:space="preserve"> chart audit tool</w:t>
      </w:r>
      <w:r w:rsidRPr="0036528B">
        <w:rPr>
          <w:rFonts w:ascii="Calibri" w:eastAsia="Calibri" w:hAnsi="Calibri" w:cs="Calibri"/>
          <w:i/>
          <w:color w:val="262626" w:themeColor="text1" w:themeTint="D9"/>
          <w:sz w:val="20"/>
          <w:szCs w:val="20"/>
        </w:rPr>
        <w:t xml:space="preserve">. </w:t>
      </w:r>
    </w:p>
    <w:sectPr w:rsidR="00FE13FA" w:rsidRPr="0036528B" w:rsidSect="0036528B">
      <w:footerReference w:type="default" r:id="rId7"/>
      <w:headerReference w:type="first" r:id="rId8"/>
      <w:pgSz w:w="15840" w:h="122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9719" w14:textId="77777777" w:rsidR="0056371A" w:rsidRDefault="0056371A">
      <w:pPr>
        <w:spacing w:line="240" w:lineRule="auto"/>
      </w:pPr>
      <w:r>
        <w:separator/>
      </w:r>
    </w:p>
  </w:endnote>
  <w:endnote w:type="continuationSeparator" w:id="0">
    <w:p w14:paraId="67B635AF" w14:textId="77777777" w:rsidR="0056371A" w:rsidRDefault="00563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I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9244" w14:textId="55DDE25A" w:rsidR="0036528B" w:rsidRPr="00305A5B" w:rsidRDefault="0036528B" w:rsidP="00305A5B">
    <w:pPr>
      <w:pStyle w:val="BasicParagraph"/>
      <w:suppressAutoHyphens/>
      <w:spacing w:after="90" w:line="240" w:lineRule="auto"/>
      <w:rPr>
        <w:rFonts w:ascii="Cambria" w:hAnsi="Cambria" w:cs="MyriadPro-It"/>
        <w:i/>
        <w:iCs/>
        <w:sz w:val="18"/>
        <w:szCs w:val="18"/>
      </w:rPr>
    </w:pPr>
    <w:r w:rsidRPr="00305A5B">
      <w:rPr>
        <w:rFonts w:ascii="Cambria" w:hAnsi="Cambria" w:cs="MyriadPro-It"/>
        <w:i/>
        <w:iCs/>
        <w:sz w:val="18"/>
        <w:szCs w:val="18"/>
      </w:rPr>
      <w:t>This worksheet was supported by Award No. FPTPA006028-04-00 from the Office of Population Affairs (OPA). Its contents are solely the responsibility of the authors and do not necessarily represent the official views of OPA or HHS.</w:t>
    </w:r>
  </w:p>
  <w:p w14:paraId="52593A4D" w14:textId="6EAAC0DD" w:rsidR="0036528B" w:rsidRDefault="0036528B">
    <w:pPr>
      <w:pStyle w:val="Footer"/>
    </w:pPr>
  </w:p>
  <w:p w14:paraId="3E0A10CF" w14:textId="77777777" w:rsidR="00FE13FA" w:rsidRDefault="00FE13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F7FB" w14:textId="77777777" w:rsidR="0056371A" w:rsidRDefault="0056371A">
      <w:pPr>
        <w:spacing w:line="240" w:lineRule="auto"/>
      </w:pPr>
      <w:r>
        <w:separator/>
      </w:r>
    </w:p>
  </w:footnote>
  <w:footnote w:type="continuationSeparator" w:id="0">
    <w:p w14:paraId="21F6D562" w14:textId="77777777" w:rsidR="0056371A" w:rsidRDefault="0056371A">
      <w:pPr>
        <w:spacing w:line="240" w:lineRule="auto"/>
      </w:pPr>
      <w:r>
        <w:continuationSeparator/>
      </w:r>
    </w:p>
  </w:footnote>
  <w:footnote w:id="1">
    <w:p w14:paraId="4681133B" w14:textId="77777777" w:rsidR="00FE13FA" w:rsidRDefault="008F14B9">
      <w:pPr>
        <w:spacing w:line="240" w:lineRule="auto"/>
        <w:rPr>
          <w:rFonts w:ascii="Calibri" w:eastAsia="Calibri" w:hAnsi="Calibri" w:cs="Calibri"/>
          <w:sz w:val="20"/>
          <w:szCs w:val="20"/>
        </w:rPr>
      </w:pPr>
      <w:r w:rsidRPr="0036528B">
        <w:rPr>
          <w:color w:val="262626" w:themeColor="text1" w:themeTint="D9"/>
          <w:vertAlign w:val="superscript"/>
        </w:rPr>
        <w:footnoteRef/>
      </w:r>
      <w:r w:rsidRPr="0036528B">
        <w:rPr>
          <w:rFonts w:ascii="Calibri" w:eastAsia="Calibri" w:hAnsi="Calibri" w:cs="Calibri"/>
          <w:color w:val="262626" w:themeColor="text1" w:themeTint="D9"/>
          <w:sz w:val="20"/>
          <w:szCs w:val="20"/>
        </w:rPr>
        <w:t xml:space="preserve"> American Medical Association. </w:t>
      </w:r>
      <w:hyperlink r:id="rId1">
        <w:r w:rsidRPr="0036528B">
          <w:rPr>
            <w:rFonts w:ascii="Calibri" w:eastAsia="Calibri" w:hAnsi="Calibri" w:cs="Calibri"/>
            <w:color w:val="262626" w:themeColor="text1" w:themeTint="D9"/>
            <w:sz w:val="20"/>
            <w:szCs w:val="20"/>
            <w:u w:val="single"/>
          </w:rPr>
          <w:t>13 reasons your practice should have a medical record audit</w:t>
        </w:r>
      </w:hyperlink>
      <w:r w:rsidRPr="0036528B">
        <w:rPr>
          <w:rFonts w:ascii="Calibri" w:eastAsia="Calibri" w:hAnsi="Calibri" w:cs="Calibri"/>
          <w:color w:val="262626" w:themeColor="text1" w:themeTint="D9"/>
          <w:sz w:val="20"/>
          <w:szCs w:val="20"/>
        </w:rPr>
        <w:t xml:space="preserve">. March 12,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CB22" w14:textId="07B2E21F" w:rsidR="0036528B" w:rsidRDefault="0036528B" w:rsidP="0036528B">
    <w:pPr>
      <w:pStyle w:val="Header"/>
      <w:jc w:val="right"/>
    </w:pPr>
    <w:r>
      <w:rPr>
        <w:noProof/>
        <w:lang w:val="en-US"/>
      </w:rPr>
      <w:drawing>
        <wp:inline distT="0" distB="0" distL="0" distR="0" wp14:anchorId="648574F1" wp14:editId="2D3E362C">
          <wp:extent cx="2119779" cy="609600"/>
          <wp:effectExtent l="0" t="0" r="0" b="0"/>
          <wp:docPr id="1" name="Picture 1" descr="FPN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81628" cy="627386"/>
                  </a:xfrm>
                  <a:prstGeom prst="rect">
                    <a:avLst/>
                  </a:prstGeom>
                </pic:spPr>
              </pic:pic>
            </a:graphicData>
          </a:graphic>
        </wp:inline>
      </w:drawing>
    </w:r>
  </w:p>
  <w:p w14:paraId="35C31FA5" w14:textId="77777777" w:rsidR="0036528B" w:rsidRDefault="00365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FA"/>
    <w:rsid w:val="00177CC4"/>
    <w:rsid w:val="00246F75"/>
    <w:rsid w:val="002A4275"/>
    <w:rsid w:val="002A73CD"/>
    <w:rsid w:val="002D415D"/>
    <w:rsid w:val="00305A5B"/>
    <w:rsid w:val="0036528B"/>
    <w:rsid w:val="003B226F"/>
    <w:rsid w:val="003D67B0"/>
    <w:rsid w:val="00496792"/>
    <w:rsid w:val="004C6AC6"/>
    <w:rsid w:val="004D2F3B"/>
    <w:rsid w:val="00534D12"/>
    <w:rsid w:val="0056371A"/>
    <w:rsid w:val="005C1D97"/>
    <w:rsid w:val="006326CC"/>
    <w:rsid w:val="00671834"/>
    <w:rsid w:val="006924CA"/>
    <w:rsid w:val="00732E1C"/>
    <w:rsid w:val="0082451B"/>
    <w:rsid w:val="008305C9"/>
    <w:rsid w:val="008A37A9"/>
    <w:rsid w:val="008D5096"/>
    <w:rsid w:val="008F14B9"/>
    <w:rsid w:val="00952EFC"/>
    <w:rsid w:val="00963CD1"/>
    <w:rsid w:val="0097758D"/>
    <w:rsid w:val="009D1E38"/>
    <w:rsid w:val="009F2B06"/>
    <w:rsid w:val="00A03DB7"/>
    <w:rsid w:val="00A4660A"/>
    <w:rsid w:val="00AE196B"/>
    <w:rsid w:val="00C0287C"/>
    <w:rsid w:val="00C42F8D"/>
    <w:rsid w:val="00E5515A"/>
    <w:rsid w:val="00F54FED"/>
    <w:rsid w:val="00FB19F6"/>
    <w:rsid w:val="00FE13FA"/>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57049"/>
  <w15:docId w15:val="{A77659A4-6E50-5C4E-8A51-867263C1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6528B"/>
    <w:pPr>
      <w:tabs>
        <w:tab w:val="center" w:pos="4680"/>
        <w:tab w:val="right" w:pos="9360"/>
      </w:tabs>
      <w:spacing w:line="240" w:lineRule="auto"/>
    </w:pPr>
  </w:style>
  <w:style w:type="character" w:customStyle="1" w:styleId="HeaderChar">
    <w:name w:val="Header Char"/>
    <w:basedOn w:val="DefaultParagraphFont"/>
    <w:link w:val="Header"/>
    <w:uiPriority w:val="99"/>
    <w:rsid w:val="0036528B"/>
  </w:style>
  <w:style w:type="paragraph" w:styleId="Footer">
    <w:name w:val="footer"/>
    <w:basedOn w:val="Normal"/>
    <w:link w:val="FooterChar"/>
    <w:uiPriority w:val="99"/>
    <w:unhideWhenUsed/>
    <w:rsid w:val="0036528B"/>
    <w:pPr>
      <w:tabs>
        <w:tab w:val="center" w:pos="4680"/>
        <w:tab w:val="right" w:pos="9360"/>
      </w:tabs>
      <w:spacing w:line="240" w:lineRule="auto"/>
    </w:pPr>
  </w:style>
  <w:style w:type="character" w:customStyle="1" w:styleId="FooterChar">
    <w:name w:val="Footer Char"/>
    <w:basedOn w:val="DefaultParagraphFont"/>
    <w:link w:val="Footer"/>
    <w:uiPriority w:val="99"/>
    <w:rsid w:val="0036528B"/>
  </w:style>
  <w:style w:type="paragraph" w:customStyle="1" w:styleId="BasicParagraph">
    <w:name w:val="[Basic Paragraph]"/>
    <w:basedOn w:val="Normal"/>
    <w:uiPriority w:val="99"/>
    <w:rsid w:val="0036528B"/>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styleId="BalloonText">
    <w:name w:val="Balloon Text"/>
    <w:basedOn w:val="Normal"/>
    <w:link w:val="BalloonTextChar"/>
    <w:uiPriority w:val="99"/>
    <w:semiHidden/>
    <w:unhideWhenUsed/>
    <w:rsid w:val="00A466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ma-assn.org/practice-management/cpt/13-reasons-your-practice-should-have-medical-record-a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AC83-CCE3-411C-B15B-06D13E5D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Hungate</dc:creator>
  <cp:lastModifiedBy>Caitlin Hungate</cp:lastModifiedBy>
  <cp:revision>2</cp:revision>
  <dcterms:created xsi:type="dcterms:W3CDTF">2020-08-28T17:42:00Z</dcterms:created>
  <dcterms:modified xsi:type="dcterms:W3CDTF">2020-08-28T17:42:00Z</dcterms:modified>
</cp:coreProperties>
</file>