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6EFEB10C" w14:textId="70B6D044" w:rsidR="00453B38" w:rsidRPr="00E615F6" w:rsidRDefault="006A3298" w:rsidP="00E615F6">
      <w:pPr>
        <w:pStyle w:val="Title"/>
      </w:pPr>
      <w:r w:rsidRPr="00E615F6">
        <mc:AlternateContent>
          <mc:Choice Requires="wps">
            <w:drawing>
              <wp:anchor distT="0" distB="0" distL="114300" distR="114300" simplePos="0" relativeHeight="251659264" behindDoc="1" locked="0" layoutInCell="1" allowOverlap="1" wp14:anchorId="3060C1CE" wp14:editId="735384D0">
                <wp:simplePos x="0" y="0"/>
                <wp:positionH relativeFrom="margin">
                  <wp:align>center</wp:align>
                </wp:positionH>
                <wp:positionV relativeFrom="paragraph">
                  <wp:posOffset>-56515</wp:posOffset>
                </wp:positionV>
                <wp:extent cx="7810500" cy="2428875"/>
                <wp:effectExtent l="0" t="0" r="0" b="9525"/>
                <wp:wrapNone/>
                <wp:docPr id="7" name="Rectangle 7" descr="Green Box" title="Green Box"/>
                <wp:cNvGraphicFramePr/>
                <a:graphic xmlns:a="http://schemas.openxmlformats.org/drawingml/2006/main">
                  <a:graphicData uri="http://schemas.microsoft.com/office/word/2010/wordprocessingShape">
                    <wps:wsp>
                      <wps:cNvSpPr/>
                      <wps:spPr>
                        <a:xfrm>
                          <a:off x="0" y="0"/>
                          <a:ext cx="7810500" cy="2428875"/>
                        </a:xfrm>
                        <a:prstGeom prst="rect">
                          <a:avLst/>
                        </a:prstGeom>
                        <a:solidFill>
                          <a:srgbClr val="008C3E">
                            <a:alpha val="2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alt="Title: Green Box - Description: Green Box" style="position:absolute;margin-left:0;margin-top:-4.45pt;width:615pt;height:191.2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" fillcolor="#008c3e" stroked="f" strokeweight="1pt">
                <v:fill opacity="13107f"/>
                <w10:wrap anchorx="margin"/>
              </v:rect>
            </w:pict>
          </mc:Fallback>
        </mc:AlternateContent>
      </w:r>
      <w:r w:rsidR="00D1644A" w:rsidRPr="00E615F6">
        <w:t xml:space="preserve">Accounts Receivable </w:t>
      </w:r>
      <w:r w:rsidR="00453B38" w:rsidRPr="00E615F6">
        <w:t>Management Tool</w:t>
      </w:r>
    </w:p>
    <w:p w14:paraId="5E624737" w14:textId="256CDE9D" w:rsidR="00CF553D" w:rsidRPr="00E615F6" w:rsidRDefault="00735D96" w:rsidP="00E615F6">
      <w:r w:rsidRPr="00E615F6">
        <w:t>Accounts receivable (A/R)</w:t>
      </w:r>
      <w:r w:rsidR="00CC1ED6" w:rsidRPr="00E615F6">
        <w:t xml:space="preserve"> is money owed to your practice for services that you </w:t>
      </w:r>
      <w:r w:rsidR="00D1644A" w:rsidRPr="00E615F6">
        <w:t xml:space="preserve">have rendered and billed for. </w:t>
      </w:r>
      <w:r w:rsidR="00187160" w:rsidRPr="00E615F6">
        <w:t xml:space="preserve">Collecting monies that are due to you is </w:t>
      </w:r>
      <w:r w:rsidR="00621CC7" w:rsidRPr="00E615F6">
        <w:t>an important</w:t>
      </w:r>
      <w:r w:rsidR="00CC1ED6" w:rsidRPr="00E615F6">
        <w:t xml:space="preserve"> part of your </w:t>
      </w:r>
      <w:r w:rsidR="00187160" w:rsidRPr="00E615F6">
        <w:t>financial sustainability</w:t>
      </w:r>
      <w:r w:rsidR="00D1644A" w:rsidRPr="00E615F6">
        <w:t xml:space="preserve">. </w:t>
      </w:r>
      <w:r w:rsidR="00621CC7" w:rsidRPr="00E615F6">
        <w:t>Measuring and</w:t>
      </w:r>
      <w:r w:rsidR="00CC1ED6" w:rsidRPr="00E615F6">
        <w:t xml:space="preserve"> manag</w:t>
      </w:r>
      <w:r w:rsidR="00187160" w:rsidRPr="00E615F6">
        <w:t>ing</w:t>
      </w:r>
      <w:r w:rsidR="00CC1ED6" w:rsidRPr="00E615F6">
        <w:t xml:space="preserve"> the A/R on an ongoing basis </w:t>
      </w:r>
      <w:r w:rsidR="00187160" w:rsidRPr="00E615F6">
        <w:t xml:space="preserve">is essential </w:t>
      </w:r>
      <w:r w:rsidR="00CC1ED6" w:rsidRPr="00E615F6">
        <w:t xml:space="preserve">to ensure that you receive </w:t>
      </w:r>
      <w:r w:rsidR="0019403D" w:rsidRPr="00E615F6">
        <w:t xml:space="preserve">the expected </w:t>
      </w:r>
      <w:r w:rsidR="00511945" w:rsidRPr="00E615F6">
        <w:t xml:space="preserve">money due to you </w:t>
      </w:r>
      <w:r w:rsidR="00CC1ED6" w:rsidRPr="00E615F6">
        <w:t>in a timely manner</w:t>
      </w:r>
      <w:r w:rsidR="00511945" w:rsidRPr="00E615F6">
        <w:t>. Managing A/R is also useful</w:t>
      </w:r>
      <w:r w:rsidR="00CC1ED6" w:rsidRPr="00E615F6">
        <w:t xml:space="preserve"> to identify practice trends or </w:t>
      </w:r>
      <w:r w:rsidR="00A26241" w:rsidRPr="00E615F6">
        <w:t>third party payer (</w:t>
      </w:r>
      <w:r w:rsidR="00CC1ED6" w:rsidRPr="00E615F6">
        <w:t>TPP</w:t>
      </w:r>
      <w:r w:rsidR="00A26241" w:rsidRPr="00E615F6">
        <w:t>)</w:t>
      </w:r>
      <w:r w:rsidR="00CC1ED6" w:rsidRPr="00E615F6">
        <w:t xml:space="preserve"> trends that may slow down the reimbursement process and negatively impact cash flow.</w:t>
      </w:r>
    </w:p>
    <w:p w14:paraId="375E323E" w14:textId="52E3CF6C" w:rsidR="00CC1ED6" w:rsidRPr="00E615F6" w:rsidRDefault="008A2E77" w:rsidP="00E615F6">
      <w:r w:rsidRPr="00E615F6">
        <w:t xml:space="preserve">Your practice management </w:t>
      </w:r>
      <w:r w:rsidR="00187160" w:rsidRPr="00E615F6">
        <w:t xml:space="preserve">(PM) </w:t>
      </w:r>
      <w:r w:rsidRPr="00E615F6">
        <w:t>software and/or electronic health record</w:t>
      </w:r>
      <w:r w:rsidR="00187160" w:rsidRPr="00E615F6">
        <w:t xml:space="preserve"> (EHR)</w:t>
      </w:r>
      <w:r w:rsidRPr="00E615F6">
        <w:t xml:space="preserve"> software will typically have capabilities to produce reports that make the measuring and management </w:t>
      </w:r>
      <w:r w:rsidR="00774D13" w:rsidRPr="00E615F6">
        <w:t xml:space="preserve">of A/R </w:t>
      </w:r>
      <w:r w:rsidRPr="00E615F6">
        <w:t>possible and ea</w:t>
      </w:r>
      <w:r w:rsidR="001C126C" w:rsidRPr="00E615F6">
        <w:t xml:space="preserve">sier. </w:t>
      </w:r>
      <w:r w:rsidR="0019403D" w:rsidRPr="00E615F6">
        <w:t>While it may cost</w:t>
      </w:r>
      <w:r w:rsidRPr="00E615F6">
        <w:t xml:space="preserve"> to have </w:t>
      </w:r>
      <w:r w:rsidR="0019403D" w:rsidRPr="00E615F6">
        <w:t>A/R and other Key Performance Indicator reports set up for you,</w:t>
      </w:r>
      <w:r w:rsidRPr="00E615F6">
        <w:t xml:space="preserve"> having these established and set</w:t>
      </w:r>
      <w:r w:rsidR="0019403D" w:rsidRPr="00E615F6">
        <w:t xml:space="preserve"> to run</w:t>
      </w:r>
      <w:r w:rsidRPr="00E615F6">
        <w:t xml:space="preserve"> will be a tremendous asset in managing </w:t>
      </w:r>
      <w:r w:rsidR="0019403D" w:rsidRPr="00E615F6">
        <w:t>your</w:t>
      </w:r>
      <w:r w:rsidR="006D1F58" w:rsidRPr="00E615F6">
        <w:t xml:space="preserve"> A/</w:t>
      </w:r>
      <w:r w:rsidR="001C126C" w:rsidRPr="00E615F6">
        <w:t xml:space="preserve">R. </w:t>
      </w:r>
      <w:r w:rsidRPr="00E615F6">
        <w:t>Whenever possible</w:t>
      </w:r>
      <w:r w:rsidR="00735D96" w:rsidRPr="00E615F6">
        <w:t>,</w:t>
      </w:r>
      <w:r w:rsidRPr="00E615F6">
        <w:t xml:space="preserve"> work with </w:t>
      </w:r>
      <w:r w:rsidR="00295ABB" w:rsidRPr="00E615F6">
        <w:t xml:space="preserve">the </w:t>
      </w:r>
      <w:r w:rsidR="00774D13" w:rsidRPr="00E615F6">
        <w:t xml:space="preserve">PM </w:t>
      </w:r>
      <w:r w:rsidRPr="00E615F6">
        <w:t xml:space="preserve">software vendor or technical support consultant to design </w:t>
      </w:r>
      <w:r w:rsidR="0019403D" w:rsidRPr="00E615F6">
        <w:t xml:space="preserve">these </w:t>
      </w:r>
      <w:r w:rsidRPr="00E615F6">
        <w:t>reports</w:t>
      </w:r>
      <w:r w:rsidR="00432024" w:rsidRPr="00E615F6">
        <w:t>.</w:t>
      </w:r>
      <w:r w:rsidR="001C126C" w:rsidRPr="00E615F6">
        <w:t xml:space="preserve"> </w:t>
      </w:r>
      <w:r w:rsidRPr="00E615F6">
        <w:t>These reports may have different names in each of</w:t>
      </w:r>
      <w:r w:rsidR="001C126C" w:rsidRPr="00E615F6">
        <w:t xml:space="preserve"> the PM/EHR software programs. </w:t>
      </w:r>
      <w:r w:rsidRPr="00E615F6">
        <w:t>The report</w:t>
      </w:r>
      <w:r w:rsidR="00187160" w:rsidRPr="00E615F6">
        <w:t>(</w:t>
      </w:r>
      <w:r w:rsidRPr="00E615F6">
        <w:t>s</w:t>
      </w:r>
      <w:r w:rsidR="00187160" w:rsidRPr="00E615F6">
        <w:t>)</w:t>
      </w:r>
      <w:r w:rsidRPr="00E615F6">
        <w:t xml:space="preserve"> “names” will be </w:t>
      </w:r>
      <w:r w:rsidRPr="00E615F6">
        <w:rPr>
          <w:b/>
          <w:color w:val="008C3E"/>
        </w:rPr>
        <w:t>highlighted</w:t>
      </w:r>
      <w:r w:rsidRPr="00E615F6">
        <w:rPr>
          <w:color w:val="008C3E"/>
        </w:rPr>
        <w:t xml:space="preserve"> </w:t>
      </w:r>
      <w:r w:rsidRPr="00E615F6">
        <w:t>throughout this document.</w:t>
      </w:r>
    </w:p>
    <w:p w14:paraId="33BA58DA" w14:textId="002499CE" w:rsidR="00251E6B" w:rsidRPr="00D05F54" w:rsidRDefault="00F300A8" w:rsidP="00D05F54">
      <w:pPr>
        <w:pStyle w:val="Heading1"/>
      </w:pPr>
      <w:r w:rsidRPr="00D05F54">
        <w:t xml:space="preserve">Managing A/R </w:t>
      </w:r>
      <w:proofErr w:type="gramStart"/>
      <w:r w:rsidR="00001D00" w:rsidRPr="00D05F54">
        <w:t>Before</w:t>
      </w:r>
      <w:proofErr w:type="gramEnd"/>
      <w:r w:rsidR="00001D00" w:rsidRPr="00D05F54">
        <w:t xml:space="preserve"> </w:t>
      </w:r>
      <w:r w:rsidRPr="00D05F54">
        <w:t>Claim Submission</w:t>
      </w:r>
    </w:p>
    <w:p w14:paraId="15DBA597" w14:textId="0875F6EF" w:rsidR="006E5B8E" w:rsidRPr="00D05F54" w:rsidRDefault="00453B38" w:rsidP="00D05F54">
      <w:pPr>
        <w:pStyle w:val="NoSpacing"/>
      </w:pPr>
      <w:r w:rsidRPr="00D05F54">
        <w:t xml:space="preserve">Managing your A/R </w:t>
      </w:r>
      <w:r w:rsidR="003F1C3F" w:rsidRPr="00D05F54">
        <w:t>begins well before the service is rendered</w:t>
      </w:r>
      <w:r w:rsidR="0019403D" w:rsidRPr="00D05F54">
        <w:t xml:space="preserve"> and the claim </w:t>
      </w:r>
      <w:proofErr w:type="gramStart"/>
      <w:r w:rsidR="0019403D" w:rsidRPr="00D05F54">
        <w:t>is</w:t>
      </w:r>
      <w:proofErr w:type="gramEnd"/>
      <w:r w:rsidR="0019403D" w:rsidRPr="00D05F54">
        <w:t xml:space="preserve"> filed</w:t>
      </w:r>
      <w:r w:rsidR="001C126C" w:rsidRPr="00D05F54">
        <w:t xml:space="preserve">. </w:t>
      </w:r>
      <w:r w:rsidR="006D1F58" w:rsidRPr="00D05F54">
        <w:t>Getting “clean” claims out in a timely fashion will save you much time managing denials received due to errors.</w:t>
      </w:r>
      <w:r w:rsidR="009B500F" w:rsidRPr="00D05F54">
        <w:t xml:space="preserve"> </w:t>
      </w:r>
    </w:p>
    <w:p w14:paraId="62B3845E" w14:textId="33630563" w:rsidR="009B500F" w:rsidRPr="009B500F" w:rsidRDefault="009B500F" w:rsidP="00D05F54">
      <w:pPr>
        <w:pStyle w:val="Bullet1"/>
        <w:rPr>
          <w:b/>
        </w:rPr>
      </w:pPr>
      <w:r>
        <w:t>Utilize a contractual obligation tracking spreadsheet to correctl</w:t>
      </w:r>
      <w:r w:rsidR="00210515">
        <w:t>y bill and submit claims (</w:t>
      </w:r>
      <w:r>
        <w:t>track any services requiring prior authorization, specific labs to use, claim submission timeframe, etc.)</w:t>
      </w:r>
      <w:r w:rsidR="00882B94">
        <w:t>.</w:t>
      </w:r>
      <w:r>
        <w:t xml:space="preserve"> </w:t>
      </w:r>
    </w:p>
    <w:p w14:paraId="7CF50778" w14:textId="032279CA" w:rsidR="001C126C" w:rsidRPr="001C126C" w:rsidRDefault="000108C2" w:rsidP="00D05F54">
      <w:pPr>
        <w:pStyle w:val="Bullet1"/>
        <w:rPr>
          <w:b/>
        </w:rPr>
      </w:pPr>
      <w:r w:rsidRPr="00E80FB6">
        <w:t>Implement use of an electronic verificatio</w:t>
      </w:r>
      <w:r w:rsidR="0019403D" w:rsidRPr="00E80FB6">
        <w:t xml:space="preserve">n system to check </w:t>
      </w:r>
      <w:r w:rsidR="00295ABB" w:rsidRPr="00E80FB6">
        <w:t xml:space="preserve">patient </w:t>
      </w:r>
      <w:r w:rsidR="0019403D" w:rsidRPr="00E80FB6">
        <w:t>eligibility for the</w:t>
      </w:r>
      <w:r w:rsidRPr="00E80FB6">
        <w:t xml:space="preserve"> date of service to </w:t>
      </w:r>
      <w:r w:rsidR="006E5B8E" w:rsidRPr="00E80FB6">
        <w:t>reduce “not eligible on date of service</w:t>
      </w:r>
      <w:r w:rsidR="00CC1ED6" w:rsidRPr="00E80FB6">
        <w:t xml:space="preserve">” </w:t>
      </w:r>
      <w:r w:rsidR="00CF553D" w:rsidRPr="00E80FB6">
        <w:t xml:space="preserve">(patient does not have active coverage with insurance on record/with insurance card presented that day) denials </w:t>
      </w:r>
      <w:r w:rsidR="006E5B8E" w:rsidRPr="00E80FB6">
        <w:t>prior to cl</w:t>
      </w:r>
      <w:r w:rsidR="00CC1ED6" w:rsidRPr="00E80FB6">
        <w:t>aim submission for</w:t>
      </w:r>
      <w:r w:rsidR="0019403D" w:rsidRPr="00E80FB6">
        <w:t xml:space="preserve"> Medicaid and/or </w:t>
      </w:r>
      <w:r w:rsidR="0019403D" w:rsidRPr="00D05F54">
        <w:t xml:space="preserve">other </w:t>
      </w:r>
      <w:r w:rsidR="00735D96" w:rsidRPr="00D05F54">
        <w:t>TPPs</w:t>
      </w:r>
      <w:r w:rsidR="00CF553D" w:rsidRPr="00D05F54">
        <w:t>.</w:t>
      </w:r>
      <w:r w:rsidR="00CC1ED6" w:rsidRPr="00E80FB6">
        <w:t xml:space="preserve"> </w:t>
      </w:r>
      <w:r w:rsidR="006E5B8E" w:rsidRPr="00E80FB6">
        <w:t xml:space="preserve"> </w:t>
      </w:r>
    </w:p>
    <w:p w14:paraId="1C519B23" w14:textId="77777777" w:rsidR="00F0451A" w:rsidRPr="00F0451A" w:rsidRDefault="006D1F58" w:rsidP="00CB5847">
      <w:pPr>
        <w:pStyle w:val="Bullet2"/>
        <w:rPr>
          <w:b/>
        </w:rPr>
      </w:pPr>
      <w:r w:rsidRPr="001C126C">
        <w:t xml:space="preserve">This may be done either the night before and/or at the time of visit, depending on your resources and system capabilities. </w:t>
      </w:r>
      <w:r w:rsidR="006E5B8E" w:rsidRPr="001C126C">
        <w:t xml:space="preserve">Poor or non-existent eligibility verification causes </w:t>
      </w:r>
      <w:r w:rsidR="00CC1ED6" w:rsidRPr="001C126C">
        <w:t xml:space="preserve">denials, </w:t>
      </w:r>
      <w:r w:rsidR="006E5B8E" w:rsidRPr="001C126C">
        <w:t>delays in getting reimbursed</w:t>
      </w:r>
      <w:r w:rsidR="00187160" w:rsidRPr="001C126C">
        <w:t>,</w:t>
      </w:r>
      <w:r w:rsidR="006E5B8E" w:rsidRPr="001C126C">
        <w:t xml:space="preserve"> and rework</w:t>
      </w:r>
      <w:r w:rsidR="00CF553D" w:rsidRPr="001C126C">
        <w:t xml:space="preserve">.  </w:t>
      </w:r>
    </w:p>
    <w:p w14:paraId="6F50EF5A" w14:textId="3C099EFA" w:rsidR="00F0451A" w:rsidRPr="00D05F54" w:rsidRDefault="00F0451A" w:rsidP="00CB5847">
      <w:pPr>
        <w:pStyle w:val="Bullet2"/>
      </w:pPr>
      <w:r w:rsidRPr="00D05F54">
        <w:t>Consider electronically saving the verifications for potential future adjudication issues.</w:t>
      </w:r>
    </w:p>
    <w:p w14:paraId="0A856402" w14:textId="5375F550" w:rsidR="004F4215" w:rsidRPr="00E80FB6" w:rsidRDefault="00187160" w:rsidP="00D05F54">
      <w:pPr>
        <w:pStyle w:val="Bullet1"/>
        <w:rPr>
          <w:b/>
        </w:rPr>
      </w:pPr>
      <w:r w:rsidRPr="00E80FB6">
        <w:t>R</w:t>
      </w:r>
      <w:r w:rsidR="008A2E77" w:rsidRPr="00E80FB6">
        <w:t xml:space="preserve">un a </w:t>
      </w:r>
      <w:r w:rsidR="008A2E77" w:rsidRPr="00B678E9">
        <w:rPr>
          <w:b/>
          <w:color w:val="008C3E"/>
        </w:rPr>
        <w:t xml:space="preserve">Not Eligible on </w:t>
      </w:r>
      <w:r w:rsidR="008A2E77" w:rsidRPr="00E615F6">
        <w:rPr>
          <w:b/>
          <w:color w:val="008C3E"/>
        </w:rPr>
        <w:t>Date of</w:t>
      </w:r>
      <w:r w:rsidR="008A2E77" w:rsidRPr="00B678E9">
        <w:rPr>
          <w:b/>
          <w:color w:val="008C3E"/>
        </w:rPr>
        <w:t xml:space="preserve"> Service report</w:t>
      </w:r>
      <w:r w:rsidR="008A2E77" w:rsidRPr="00FA5B2F">
        <w:rPr>
          <w:b/>
          <w:color w:val="008C3E"/>
        </w:rPr>
        <w:t xml:space="preserve"> </w:t>
      </w:r>
      <w:r w:rsidR="008A2E77" w:rsidRPr="00E80FB6">
        <w:t>on a weekly basis</w:t>
      </w:r>
      <w:r w:rsidR="00CF553D" w:rsidRPr="00E80FB6">
        <w:t xml:space="preserve"> as another check</w:t>
      </w:r>
      <w:r w:rsidR="008A2E77" w:rsidRPr="00E80FB6">
        <w:t xml:space="preserve">.  </w:t>
      </w:r>
    </w:p>
    <w:p w14:paraId="3A5A54F4" w14:textId="32C4E62C" w:rsidR="008A2E77" w:rsidRPr="00E80FB6" w:rsidRDefault="008A2E77" w:rsidP="00D05F54">
      <w:pPr>
        <w:pStyle w:val="Bullet1"/>
      </w:pPr>
      <w:r w:rsidRPr="00E80FB6">
        <w:t xml:space="preserve">To </w:t>
      </w:r>
      <w:r w:rsidR="0019403D" w:rsidRPr="00E80FB6">
        <w:t>avoid missing submission of data from a</w:t>
      </w:r>
      <w:r w:rsidR="00CF553D" w:rsidRPr="00E80FB6">
        <w:t xml:space="preserve"> patient</w:t>
      </w:r>
      <w:r w:rsidRPr="00E80FB6">
        <w:t xml:space="preserve"> encounter, run a </w:t>
      </w:r>
      <w:r w:rsidRPr="00B678E9">
        <w:rPr>
          <w:b/>
          <w:color w:val="008C3E"/>
        </w:rPr>
        <w:t>Kept Appointments with No Charge report</w:t>
      </w:r>
      <w:r w:rsidR="00CF553D" w:rsidRPr="00E80FB6">
        <w:t>.</w:t>
      </w:r>
      <w:r w:rsidRPr="00E80FB6">
        <w:t xml:space="preserve"> </w:t>
      </w:r>
      <w:r w:rsidR="00CF553D" w:rsidRPr="00E80FB6">
        <w:t xml:space="preserve">This </w:t>
      </w:r>
      <w:r w:rsidR="00A26241" w:rsidRPr="00E80FB6">
        <w:t>type of report identif</w:t>
      </w:r>
      <w:r w:rsidR="00D51418" w:rsidRPr="00E80FB6">
        <w:t>ies</w:t>
      </w:r>
      <w:r w:rsidR="00A26241" w:rsidRPr="00E80FB6">
        <w:t xml:space="preserve"> clients that had</w:t>
      </w:r>
      <w:r w:rsidR="00735D96">
        <w:t xml:space="preserve"> been checked-in and checked-</w:t>
      </w:r>
      <w:r w:rsidRPr="00E80FB6">
        <w:t>out and have no associated charges.</w:t>
      </w:r>
    </w:p>
    <w:p w14:paraId="3679DF45" w14:textId="77777777" w:rsidR="00D51418" w:rsidRPr="00E80FB6" w:rsidRDefault="00D51418" w:rsidP="00D05F54">
      <w:pPr>
        <w:pStyle w:val="Bullet1"/>
        <w:rPr>
          <w:b/>
        </w:rPr>
      </w:pPr>
      <w:r w:rsidRPr="00E80FB6">
        <w:t xml:space="preserve">Run an </w:t>
      </w:r>
      <w:r w:rsidRPr="00FA5B2F">
        <w:rPr>
          <w:b/>
          <w:color w:val="008C3E"/>
        </w:rPr>
        <w:t xml:space="preserve">Incomplete Claims File report </w:t>
      </w:r>
      <w:r w:rsidRPr="00E80FB6">
        <w:t xml:space="preserve">to </w:t>
      </w:r>
      <w:r w:rsidR="00774D13" w:rsidRPr="00E80FB6">
        <w:t>i</w:t>
      </w:r>
      <w:r w:rsidR="006D1F58" w:rsidRPr="00E80FB6">
        <w:t>dentify</w:t>
      </w:r>
      <w:r w:rsidR="00CF553D" w:rsidRPr="00E80FB6">
        <w:t xml:space="preserve"> all encounters and associated charges including those that can’t be billed because of missing information such as </w:t>
      </w:r>
      <w:r w:rsidRPr="00E80FB6">
        <w:t xml:space="preserve">a </w:t>
      </w:r>
      <w:r w:rsidR="00CF553D" w:rsidRPr="00E80FB6">
        <w:t xml:space="preserve">diagnosis </w:t>
      </w:r>
      <w:r w:rsidR="00E80FB6" w:rsidRPr="00E80FB6">
        <w:t>code.</w:t>
      </w:r>
      <w:r w:rsidR="00CF553D" w:rsidRPr="00E80FB6">
        <w:rPr>
          <w:b/>
        </w:rPr>
        <w:t xml:space="preserve"> </w:t>
      </w:r>
      <w:r w:rsidR="00A26241" w:rsidRPr="00E80FB6">
        <w:t xml:space="preserve"> </w:t>
      </w:r>
    </w:p>
    <w:p w14:paraId="7C77309B" w14:textId="7A1955FD" w:rsidR="008A2E77" w:rsidRPr="00E80FB6" w:rsidRDefault="00A26241" w:rsidP="00CB5847">
      <w:pPr>
        <w:pStyle w:val="Bullet2"/>
        <w:rPr>
          <w:b/>
        </w:rPr>
      </w:pPr>
      <w:r w:rsidRPr="00E80FB6">
        <w:t xml:space="preserve">If it can’t be </w:t>
      </w:r>
      <w:proofErr w:type="gramStart"/>
      <w:r w:rsidRPr="00E80FB6">
        <w:t>sent/</w:t>
      </w:r>
      <w:r w:rsidR="008A2E77" w:rsidRPr="00E80FB6">
        <w:t>billed</w:t>
      </w:r>
      <w:proofErr w:type="gramEnd"/>
      <w:r w:rsidR="008A2E77" w:rsidRPr="00E80FB6">
        <w:t xml:space="preserve"> </w:t>
      </w:r>
      <w:r w:rsidRPr="00E80FB6">
        <w:t xml:space="preserve">to the </w:t>
      </w:r>
      <w:r w:rsidR="00735D96">
        <w:t>T</w:t>
      </w:r>
      <w:r w:rsidR="00B42439">
        <w:t>P</w:t>
      </w:r>
      <w:r w:rsidR="00735D96">
        <w:t>P</w:t>
      </w:r>
      <w:r w:rsidR="00A9226F" w:rsidRPr="00E80FB6">
        <w:t xml:space="preserve"> </w:t>
      </w:r>
      <w:r w:rsidR="00295ABB" w:rsidRPr="00E80FB6">
        <w:t xml:space="preserve">due to missing or </w:t>
      </w:r>
      <w:r w:rsidR="008A2E77" w:rsidRPr="00E80FB6">
        <w:t>incorrect information, the aging process never starts.</w:t>
      </w:r>
    </w:p>
    <w:p w14:paraId="0390A2A6" w14:textId="022203CF" w:rsidR="008578A2" w:rsidRPr="00E80FB6" w:rsidRDefault="008578A2" w:rsidP="00D05F54">
      <w:pPr>
        <w:pStyle w:val="Bullet1"/>
        <w:rPr>
          <w:b/>
        </w:rPr>
      </w:pPr>
      <w:r w:rsidRPr="00E80FB6">
        <w:t xml:space="preserve">Assure any authorizations are obtained for services if required by a specific </w:t>
      </w:r>
      <w:r w:rsidR="00B42439">
        <w:t>TP</w:t>
      </w:r>
      <w:r w:rsidR="00735D96">
        <w:t>P</w:t>
      </w:r>
      <w:r w:rsidR="00B24C47" w:rsidRPr="00E80FB6">
        <w:t>.</w:t>
      </w:r>
    </w:p>
    <w:p w14:paraId="5EBC62FD" w14:textId="6621ED9F" w:rsidR="00B24C47" w:rsidRPr="00E80FB6" w:rsidRDefault="00B24C47" w:rsidP="00D05F54">
      <w:pPr>
        <w:pStyle w:val="Bullet1"/>
        <w:rPr>
          <w:b/>
        </w:rPr>
      </w:pPr>
      <w:r w:rsidRPr="00E80FB6">
        <w:t xml:space="preserve">Assure all clinicians are credentialed with all </w:t>
      </w:r>
      <w:r w:rsidR="00735D96">
        <w:t>T</w:t>
      </w:r>
      <w:r w:rsidR="00B42439">
        <w:t>P</w:t>
      </w:r>
      <w:r w:rsidR="00735D96">
        <w:t>Ps</w:t>
      </w:r>
      <w:r w:rsidRPr="00E80FB6">
        <w:t xml:space="preserve"> and that credentials are maintained.</w:t>
      </w:r>
    </w:p>
    <w:p w14:paraId="38772BC8" w14:textId="4A6CAAB9" w:rsidR="0019309A" w:rsidRPr="00F24E4B" w:rsidRDefault="0019309A" w:rsidP="00D05F54">
      <w:pPr>
        <w:pStyle w:val="Bullet1"/>
        <w:rPr>
          <w:b/>
        </w:rPr>
      </w:pPr>
      <w:r w:rsidRPr="00E80FB6">
        <w:t xml:space="preserve">Get the </w:t>
      </w:r>
      <w:r>
        <w:t>TPP</w:t>
      </w:r>
      <w:r w:rsidRPr="00E80FB6">
        <w:t xml:space="preserve"> claims out weekly for services provided dur</w:t>
      </w:r>
      <w:r>
        <w:t xml:space="preserve">ing that week (avoid filing too </w:t>
      </w:r>
      <w:r w:rsidRPr="00E80FB6">
        <w:t>late or past filing limits).</w:t>
      </w:r>
    </w:p>
    <w:p w14:paraId="2C269C05" w14:textId="77777777" w:rsidR="0019309A" w:rsidRPr="004C14FC" w:rsidRDefault="0019309A" w:rsidP="00D05F54">
      <w:pPr>
        <w:pStyle w:val="Bullet1"/>
      </w:pPr>
      <w:r w:rsidRPr="004C14FC">
        <w:t>Common denials that can be avoided by efforts before filing a claim:</w:t>
      </w:r>
    </w:p>
    <w:p w14:paraId="603C3B77" w14:textId="77777777" w:rsidR="0019309A" w:rsidRDefault="0019309A" w:rsidP="00CB5847">
      <w:pPr>
        <w:pStyle w:val="Bullet2"/>
      </w:pPr>
      <w:r w:rsidRPr="004C14FC">
        <w:t>Medical necessity (diagnosis or procedure coding errors)</w:t>
      </w:r>
    </w:p>
    <w:p w14:paraId="01C2214C" w14:textId="77777777" w:rsidR="0019309A" w:rsidRDefault="0019309A" w:rsidP="00CB5847">
      <w:pPr>
        <w:pStyle w:val="Bullet2"/>
      </w:pPr>
      <w:r w:rsidRPr="004C14FC">
        <w:t>Registration issues: Not eligible on date of service, insurance verification, incorrect payer, cannot identify patient, date of birth documentation</w:t>
      </w:r>
    </w:p>
    <w:p w14:paraId="0F8404A7" w14:textId="77777777" w:rsidR="0019309A" w:rsidRDefault="0019309A" w:rsidP="00CB5847">
      <w:pPr>
        <w:pStyle w:val="Bullet2"/>
      </w:pPr>
      <w:r w:rsidRPr="004C14FC">
        <w:t>Credentialing of your clinicians with the TPP to whom you are submitting the claim</w:t>
      </w:r>
    </w:p>
    <w:p w14:paraId="56B33C4E" w14:textId="77777777" w:rsidR="0019309A" w:rsidRDefault="0019309A" w:rsidP="00CB5847">
      <w:pPr>
        <w:pStyle w:val="Bullet2"/>
      </w:pPr>
      <w:r w:rsidRPr="004C14FC">
        <w:t>Referrals and Pre-authorizations: Missing referral/preauthorization</w:t>
      </w:r>
    </w:p>
    <w:p w14:paraId="26AB1C10" w14:textId="77777777" w:rsidR="00D05F54" w:rsidRDefault="00D05F54" w:rsidP="00E615F6"/>
    <w:p w14:paraId="0D6047C4" w14:textId="77777777" w:rsidR="00D05F54" w:rsidRDefault="00D05F54" w:rsidP="00E615F6"/>
    <w:p w14:paraId="03B63796" w14:textId="21BFC390" w:rsidR="0019309A" w:rsidRPr="0019309A" w:rsidRDefault="0019309A" w:rsidP="00D05F54">
      <w:pPr>
        <w:pStyle w:val="NoSpacing"/>
        <w:rPr>
          <w:b/>
        </w:rPr>
      </w:pPr>
      <w:r w:rsidRPr="0019309A">
        <w:lastRenderedPageBreak/>
        <w:t>Implement fee collection best practices</w:t>
      </w:r>
      <w:r>
        <w:t xml:space="preserve">. </w:t>
      </w:r>
    </w:p>
    <w:p w14:paraId="7C2E75F3" w14:textId="2BDA46AB" w:rsidR="00251E6B" w:rsidRPr="00E80FB6" w:rsidRDefault="00F300A8" w:rsidP="00D05F54">
      <w:pPr>
        <w:pStyle w:val="Bullet1"/>
        <w:rPr>
          <w:b/>
        </w:rPr>
      </w:pPr>
      <w:r w:rsidRPr="00E80FB6">
        <w:t>Communicate the</w:t>
      </w:r>
      <w:r w:rsidR="003F1C3F" w:rsidRPr="00E80FB6">
        <w:t xml:space="preserve"> full charge for the service </w:t>
      </w:r>
      <w:r w:rsidRPr="00E80FB6">
        <w:t xml:space="preserve">to the patient </w:t>
      </w:r>
      <w:r w:rsidR="003F1C3F" w:rsidRPr="00E80FB6">
        <w:t xml:space="preserve">as well as </w:t>
      </w:r>
      <w:r w:rsidRPr="00E80FB6">
        <w:t>the portion that</w:t>
      </w:r>
      <w:r w:rsidR="003F1C3F" w:rsidRPr="00E80FB6">
        <w:t xml:space="preserve"> the</w:t>
      </w:r>
      <w:r w:rsidRPr="00E80FB6">
        <w:t>y will owe</w:t>
      </w:r>
      <w:r w:rsidR="003F1C3F" w:rsidRPr="00E80FB6">
        <w:t xml:space="preserve"> at the time of visit.  </w:t>
      </w:r>
    </w:p>
    <w:p w14:paraId="15D7D451" w14:textId="3158F793" w:rsidR="00F1313A" w:rsidRPr="00F1313A" w:rsidRDefault="006D1F58" w:rsidP="00D05F54">
      <w:pPr>
        <w:pStyle w:val="Bullet1"/>
        <w:rPr>
          <w:b/>
        </w:rPr>
      </w:pPr>
      <w:r w:rsidRPr="00E80FB6">
        <w:t>Collect</w:t>
      </w:r>
      <w:r w:rsidR="00D51418" w:rsidRPr="00E80FB6">
        <w:t xml:space="preserve"> </w:t>
      </w:r>
      <w:r w:rsidRPr="00E80FB6">
        <w:t xml:space="preserve">fees </w:t>
      </w:r>
      <w:r w:rsidR="00B24C47" w:rsidRPr="00E80FB6">
        <w:t>(</w:t>
      </w:r>
      <w:r w:rsidR="00D51418" w:rsidRPr="00E80FB6">
        <w:t>sliding fee discount schedule</w:t>
      </w:r>
      <w:r w:rsidR="00621CC7" w:rsidRPr="00E80FB6">
        <w:t xml:space="preserve"> payments,</w:t>
      </w:r>
      <w:r w:rsidR="00D51418" w:rsidRPr="00E80FB6">
        <w:t xml:space="preserve"> </w:t>
      </w:r>
      <w:r w:rsidR="00B24C47" w:rsidRPr="00E80FB6">
        <w:t>co</w:t>
      </w:r>
      <w:r w:rsidR="00D51418" w:rsidRPr="00E80FB6">
        <w:t>-</w:t>
      </w:r>
      <w:r w:rsidR="00B24C47" w:rsidRPr="00E80FB6">
        <w:t>pays, deductibles</w:t>
      </w:r>
      <w:r w:rsidR="00210515">
        <w:t>,</w:t>
      </w:r>
      <w:r w:rsidR="00B24C47" w:rsidRPr="00E80FB6">
        <w:t xml:space="preserve"> or co</w:t>
      </w:r>
      <w:r w:rsidR="00D51418" w:rsidRPr="00E80FB6">
        <w:t>-</w:t>
      </w:r>
      <w:r w:rsidR="00B24C47" w:rsidRPr="00E80FB6">
        <w:t>insurances</w:t>
      </w:r>
      <w:r w:rsidR="00621CC7" w:rsidRPr="00E80FB6">
        <w:t xml:space="preserve">) </w:t>
      </w:r>
      <w:r w:rsidRPr="00E80FB6">
        <w:t xml:space="preserve">at the time of the </w:t>
      </w:r>
      <w:r w:rsidR="00E80FB6" w:rsidRPr="00E80FB6">
        <w:t>visit.</w:t>
      </w:r>
      <w:r w:rsidR="00251E6B" w:rsidRPr="00E80FB6">
        <w:t xml:space="preserve">  </w:t>
      </w:r>
    </w:p>
    <w:p w14:paraId="7691BDE0" w14:textId="13F8DC67" w:rsidR="00F1313A" w:rsidRPr="00046556" w:rsidRDefault="00D51418" w:rsidP="00CB5847">
      <w:pPr>
        <w:pStyle w:val="Bullet2"/>
        <w:rPr>
          <w:b/>
          <w:i/>
        </w:rPr>
      </w:pPr>
      <w:r w:rsidRPr="00046556">
        <w:rPr>
          <w:i/>
        </w:rPr>
        <w:t xml:space="preserve">TIP: </w:t>
      </w:r>
      <w:r w:rsidR="00251E6B" w:rsidRPr="00046556">
        <w:rPr>
          <w:i/>
        </w:rPr>
        <w:t xml:space="preserve">Establish patient </w:t>
      </w:r>
      <w:r w:rsidR="00B24C47" w:rsidRPr="00046556">
        <w:rPr>
          <w:i/>
        </w:rPr>
        <w:t>payment policies, inform your</w:t>
      </w:r>
      <w:r w:rsidR="00251E6B" w:rsidRPr="00046556">
        <w:rPr>
          <w:i/>
        </w:rPr>
        <w:t xml:space="preserve"> patients </w:t>
      </w:r>
      <w:r w:rsidR="00B24C47" w:rsidRPr="00046556">
        <w:rPr>
          <w:i/>
        </w:rPr>
        <w:t>of the policy,</w:t>
      </w:r>
      <w:r w:rsidR="00251E6B" w:rsidRPr="00046556">
        <w:rPr>
          <w:i/>
        </w:rPr>
        <w:t xml:space="preserve"> and </w:t>
      </w:r>
      <w:r w:rsidR="00B24C47" w:rsidRPr="00046556">
        <w:rPr>
          <w:i/>
        </w:rPr>
        <w:t>train employees on collection practices</w:t>
      </w:r>
      <w:r w:rsidR="00251E6B" w:rsidRPr="00046556">
        <w:rPr>
          <w:i/>
        </w:rPr>
        <w:t>.</w:t>
      </w:r>
      <w:r w:rsidR="00E80FB6" w:rsidRPr="00046556">
        <w:rPr>
          <w:i/>
        </w:rPr>
        <w:t xml:space="preserve"> When necessary include a written document the patient signs regarding payment terms. </w:t>
      </w:r>
      <w:r w:rsidR="00251E6B" w:rsidRPr="00046556">
        <w:rPr>
          <w:i/>
        </w:rPr>
        <w:t xml:space="preserve"> </w:t>
      </w:r>
    </w:p>
    <w:p w14:paraId="6ADF21B6" w14:textId="653AB23A" w:rsidR="00251E6B" w:rsidRPr="00046556" w:rsidRDefault="00D51418" w:rsidP="00CB5847">
      <w:pPr>
        <w:pStyle w:val="Bullet2"/>
        <w:rPr>
          <w:b/>
          <w:i/>
        </w:rPr>
      </w:pPr>
      <w:r w:rsidRPr="00046556">
        <w:rPr>
          <w:i/>
        </w:rPr>
        <w:t xml:space="preserve">TIP: </w:t>
      </w:r>
      <w:r w:rsidR="00F300A8" w:rsidRPr="00046556">
        <w:rPr>
          <w:i/>
        </w:rPr>
        <w:t>Use credit card processing</w:t>
      </w:r>
      <w:r w:rsidR="00251E6B" w:rsidRPr="00046556">
        <w:rPr>
          <w:i/>
        </w:rPr>
        <w:t xml:space="preserve"> </w:t>
      </w:r>
      <w:r w:rsidR="00BE7CF0" w:rsidRPr="00046556">
        <w:rPr>
          <w:i/>
        </w:rPr>
        <w:t xml:space="preserve">as a payment option </w:t>
      </w:r>
      <w:r w:rsidR="00251E6B" w:rsidRPr="00046556">
        <w:rPr>
          <w:i/>
        </w:rPr>
        <w:t>at</w:t>
      </w:r>
      <w:r w:rsidR="001C126C" w:rsidRPr="00046556">
        <w:rPr>
          <w:i/>
        </w:rPr>
        <w:t xml:space="preserve"> the time of the office visit. </w:t>
      </w:r>
      <w:r w:rsidR="00251E6B" w:rsidRPr="00046556">
        <w:rPr>
          <w:i/>
        </w:rPr>
        <w:t xml:space="preserve">This increases the probability that you will collect more of </w:t>
      </w:r>
      <w:r w:rsidR="00206594" w:rsidRPr="00046556">
        <w:rPr>
          <w:i/>
        </w:rPr>
        <w:t xml:space="preserve">the </w:t>
      </w:r>
      <w:r w:rsidR="00251E6B" w:rsidRPr="00046556">
        <w:rPr>
          <w:i/>
        </w:rPr>
        <w:t>patien</w:t>
      </w:r>
      <w:r w:rsidR="00206594" w:rsidRPr="00046556">
        <w:rPr>
          <w:i/>
        </w:rPr>
        <w:t>t’s</w:t>
      </w:r>
      <w:r w:rsidR="00251E6B" w:rsidRPr="00046556">
        <w:rPr>
          <w:i/>
        </w:rPr>
        <w:t xml:space="preserve"> self-pay balance.</w:t>
      </w:r>
    </w:p>
    <w:p w14:paraId="0D1D3E87" w14:textId="1AF0E73C" w:rsidR="00251E6B" w:rsidRDefault="00251E6B" w:rsidP="00D05F54">
      <w:pPr>
        <w:pStyle w:val="Bullet1"/>
        <w:spacing w:after="120"/>
      </w:pPr>
      <w:r w:rsidRPr="00E80FB6">
        <w:t>Esta</w:t>
      </w:r>
      <w:r w:rsidR="00B24C47" w:rsidRPr="00E80FB6">
        <w:t>blish policies regarding when an outstanding patient balance</w:t>
      </w:r>
      <w:r w:rsidRPr="00E80FB6">
        <w:t xml:space="preserve"> is turned over to collections, and assure the client understands this policy long before their account goes to collections.</w:t>
      </w:r>
    </w:p>
    <w:p w14:paraId="7F18591F" w14:textId="4794E5A6" w:rsidR="003F1C3F" w:rsidRPr="00E80FB6" w:rsidRDefault="00001D00" w:rsidP="00D05F54">
      <w:pPr>
        <w:pStyle w:val="Heading1"/>
      </w:pPr>
      <w:r>
        <w:t xml:space="preserve">Managing A/R </w:t>
      </w:r>
      <w:proofErr w:type="gramStart"/>
      <w:r w:rsidR="00251E6B" w:rsidRPr="00E80FB6">
        <w:t>After</w:t>
      </w:r>
      <w:proofErr w:type="gramEnd"/>
      <w:r w:rsidR="00251E6B" w:rsidRPr="00E80FB6">
        <w:t xml:space="preserve"> </w:t>
      </w:r>
      <w:r>
        <w:t>Claim Submission</w:t>
      </w:r>
    </w:p>
    <w:p w14:paraId="1D85BA97" w14:textId="4F42ECCA" w:rsidR="001C126C" w:rsidRDefault="00707D7C" w:rsidP="00D05F54">
      <w:r w:rsidRPr="00E80FB6">
        <w:t xml:space="preserve">At the aggregate level, review </w:t>
      </w:r>
      <w:r w:rsidRPr="00FA5B2F">
        <w:rPr>
          <w:b/>
          <w:color w:val="008C3E"/>
        </w:rPr>
        <w:t xml:space="preserve">monthly </w:t>
      </w:r>
      <w:r w:rsidR="000108C2" w:rsidRPr="00FA5B2F">
        <w:rPr>
          <w:b/>
          <w:color w:val="008C3E"/>
        </w:rPr>
        <w:t>A</w:t>
      </w:r>
      <w:r w:rsidR="009754B4" w:rsidRPr="00FA5B2F">
        <w:rPr>
          <w:b/>
          <w:color w:val="008C3E"/>
        </w:rPr>
        <w:t>/</w:t>
      </w:r>
      <w:r w:rsidR="000108C2" w:rsidRPr="00FA5B2F">
        <w:rPr>
          <w:b/>
          <w:color w:val="008C3E"/>
        </w:rPr>
        <w:t>R aging report</w:t>
      </w:r>
      <w:r w:rsidR="000108C2" w:rsidRPr="00FA5B2F">
        <w:rPr>
          <w:color w:val="008C3E"/>
        </w:rPr>
        <w:t xml:space="preserve"> </w:t>
      </w:r>
      <w:r w:rsidR="000108C2" w:rsidRPr="00E80FB6">
        <w:t>(</w:t>
      </w:r>
      <w:r w:rsidR="00D51418" w:rsidRPr="00E80FB6">
        <w:t xml:space="preserve">For more information </w:t>
      </w:r>
      <w:r w:rsidR="00210515">
        <w:t>refer to</w:t>
      </w:r>
      <w:r w:rsidR="00D51418" w:rsidRPr="00E80FB6">
        <w:t xml:space="preserve"> Tab 4, A/R Aging </w:t>
      </w:r>
      <w:r w:rsidR="00E50C9E" w:rsidRPr="00E80FB6">
        <w:t xml:space="preserve">and Tab 5, Days in A/R </w:t>
      </w:r>
      <w:r w:rsidR="00D51418" w:rsidRPr="00E80FB6">
        <w:t xml:space="preserve">in the </w:t>
      </w:r>
      <w:r w:rsidR="00BD4D2F">
        <w:t xml:space="preserve">Title X </w:t>
      </w:r>
      <w:hyperlink r:id="rId9" w:history="1">
        <w:r w:rsidR="00D51418" w:rsidRPr="00210515">
          <w:rPr>
            <w:rStyle w:val="Hyperlink"/>
          </w:rPr>
          <w:t xml:space="preserve">Financial </w:t>
        </w:r>
        <w:r w:rsidR="00E50C9E" w:rsidRPr="00210515">
          <w:rPr>
            <w:rStyle w:val="Hyperlink"/>
          </w:rPr>
          <w:t>Dashboard</w:t>
        </w:r>
        <w:r w:rsidR="00D51418" w:rsidRPr="00210515">
          <w:rPr>
            <w:rStyle w:val="Hyperlink"/>
          </w:rPr>
          <w:t>, a free resource available on</w:t>
        </w:r>
        <w:r w:rsidR="00210515" w:rsidRPr="00210515">
          <w:rPr>
            <w:rStyle w:val="Hyperlink"/>
          </w:rPr>
          <w:t xml:space="preserve"> the Sustainability Community of Practice</w:t>
        </w:r>
      </w:hyperlink>
      <w:r w:rsidR="00D51418" w:rsidRPr="00E80FB6">
        <w:t xml:space="preserve">). </w:t>
      </w:r>
      <w:r w:rsidR="009754B4" w:rsidRPr="00E80FB6">
        <w:t>The A/R Aging Report is a good barometer fo</w:t>
      </w:r>
      <w:r w:rsidR="00A16467" w:rsidRPr="00E80FB6">
        <w:t xml:space="preserve">r the health of your practice. </w:t>
      </w:r>
      <w:r w:rsidR="002047F2">
        <w:t>Utilize an A/R r</w:t>
      </w:r>
      <w:r w:rsidR="00A021E6" w:rsidRPr="00E80FB6">
        <w:t xml:space="preserve">eport available in your </w:t>
      </w:r>
      <w:r w:rsidR="00187160" w:rsidRPr="00E80FB6">
        <w:t>EHR or PM software</w:t>
      </w:r>
      <w:r w:rsidR="002047F2">
        <w:t>, or create one with the data from your system</w:t>
      </w:r>
      <w:r w:rsidR="00187160" w:rsidRPr="00E80FB6">
        <w:t>.</w:t>
      </w:r>
      <w:r w:rsidR="001C126C">
        <w:t xml:space="preserve"> </w:t>
      </w:r>
      <w:r w:rsidR="000108C2" w:rsidRPr="00E80FB6">
        <w:t>In addition to illustrating how much a business is owed, your A/R report should distribute wh</w:t>
      </w:r>
      <w:r w:rsidR="002F0509" w:rsidRPr="00E80FB6">
        <w:t xml:space="preserve">at is due by how old </w:t>
      </w:r>
      <w:r w:rsidR="00B87118" w:rsidRPr="00E80FB6">
        <w:t xml:space="preserve">the </w:t>
      </w:r>
      <w:r w:rsidR="000108C2" w:rsidRPr="00E80FB6">
        <w:t xml:space="preserve">money is </w:t>
      </w:r>
      <w:r w:rsidR="002F0509" w:rsidRPr="00E80FB6">
        <w:t xml:space="preserve">that is </w:t>
      </w:r>
      <w:r w:rsidR="000108C2" w:rsidRPr="00E80FB6">
        <w:t>owed</w:t>
      </w:r>
      <w:r w:rsidR="002F0509" w:rsidRPr="00E80FB6">
        <w:t xml:space="preserve"> to the practice</w:t>
      </w:r>
      <w:r w:rsidR="001C126C">
        <w:t xml:space="preserve">. </w:t>
      </w:r>
      <w:r w:rsidR="00B842CE">
        <w:t xml:space="preserve">Below is a sample monthly A/R aging report. </w:t>
      </w:r>
    </w:p>
    <w:p w14:paraId="2AD300D3" w14:textId="2D29942B" w:rsidR="001C126C" w:rsidRDefault="001C126C" w:rsidP="00E615F6">
      <w:r>
        <w:rPr>
          <w:noProof/>
        </w:rPr>
        <w:drawing>
          <wp:inline distT="0" distB="0" distL="0" distR="0" wp14:anchorId="236BCB79" wp14:editId="4FF2ADDF">
            <wp:extent cx="5232400" cy="3439745"/>
            <wp:effectExtent l="0" t="0" r="6350" b="8890"/>
            <wp:docPr id="3" name="Picture 3" descr="Chart depicting monthly A/R Aging by payer over a one year timeframe." title="Monthly A/R Aging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41613" cy="3445802"/>
                    </a:xfrm>
                    <a:prstGeom prst="rect">
                      <a:avLst/>
                    </a:prstGeom>
                    <a:noFill/>
                    <a:ln>
                      <a:noFill/>
                    </a:ln>
                  </pic:spPr>
                </pic:pic>
              </a:graphicData>
            </a:graphic>
          </wp:inline>
        </w:drawing>
      </w:r>
    </w:p>
    <w:p w14:paraId="7585F288" w14:textId="5CA4E41B" w:rsidR="00B842CE" w:rsidRPr="00D05F54" w:rsidRDefault="00B842CE" w:rsidP="00E615F6">
      <w:r w:rsidRPr="00D05F54">
        <w:t>This sample report shows the amount owed for eve</w:t>
      </w:r>
      <w:r w:rsidR="00735D96" w:rsidRPr="00D05F54">
        <w:t>ry revenue source divided into seven</w:t>
      </w:r>
      <w:r w:rsidRPr="00D05F54">
        <w:t xml:space="preserve"> age ranges (or buckets) across the top of the spreadsheet, and the various </w:t>
      </w:r>
      <w:r w:rsidR="00735D96" w:rsidRPr="00D05F54">
        <w:t>TPPs</w:t>
      </w:r>
      <w:r w:rsidR="001C126C" w:rsidRPr="00D05F54">
        <w:t xml:space="preserve"> are</w:t>
      </w:r>
      <w:r w:rsidR="00930A42" w:rsidRPr="00D05F54">
        <w:t xml:space="preserve"> listed</w:t>
      </w:r>
      <w:r w:rsidR="001C126C" w:rsidRPr="00D05F54">
        <w:t xml:space="preserve"> down the side. </w:t>
      </w:r>
      <w:r w:rsidRPr="00D05F54">
        <w:t>An A/R aging</w:t>
      </w:r>
      <w:r w:rsidR="000B73D1" w:rsidRPr="00D05F54">
        <w:t xml:space="preserve"> </w:t>
      </w:r>
      <w:r w:rsidRPr="00D05F54">
        <w:t>report can be set up using expected revenue</w:t>
      </w:r>
      <w:r w:rsidR="000D02E5" w:rsidRPr="00D05F54">
        <w:t>.</w:t>
      </w:r>
      <w:r w:rsidR="000D02E5" w:rsidRPr="005B7E01">
        <w:rPr>
          <w:vertAlign w:val="superscript"/>
        </w:rPr>
        <w:footnoteReference w:id="1"/>
      </w:r>
      <w:r w:rsidRPr="00D05F54">
        <w:t xml:space="preserve"> </w:t>
      </w:r>
      <w:r w:rsidR="000D02E5" w:rsidRPr="00D05F54">
        <w:t>T</w:t>
      </w:r>
      <w:r w:rsidRPr="00D05F54">
        <w:t>he top section of this report shows the age of</w:t>
      </w:r>
      <w:r w:rsidRPr="00E80FB6">
        <w:t xml:space="preserve"> </w:t>
      </w:r>
      <w:r w:rsidRPr="00D05F54">
        <w:lastRenderedPageBreak/>
        <w:t xml:space="preserve">reimbursements owed to the practice by each </w:t>
      </w:r>
      <w:r w:rsidR="00BD4D2F" w:rsidRPr="00D05F54">
        <w:t xml:space="preserve">TPP </w:t>
      </w:r>
      <w:r w:rsidRPr="00D05F54">
        <w:t>and revenue source including patient fees at a certain point in ti</w:t>
      </w:r>
      <w:r w:rsidR="001C126C" w:rsidRPr="00D05F54">
        <w:t xml:space="preserve">me for two consecutive months. </w:t>
      </w:r>
      <w:r w:rsidRPr="00D05F54">
        <w:t>The bottom section of the sample report shows the aggregate amount per age bucket for each pre</w:t>
      </w:r>
      <w:r w:rsidR="001C126C" w:rsidRPr="00D05F54">
        <w:t xml:space="preserve">ceding month of a fiscal year. </w:t>
      </w:r>
      <w:r w:rsidRPr="00D05F54">
        <w:t>A report such as this one allows you to identify potential issues from a high level view, and identify where to prioritize your focused A/R work.</w:t>
      </w:r>
    </w:p>
    <w:p w14:paraId="5D780406" w14:textId="1FB6188C" w:rsidR="00621CC7" w:rsidRPr="00E80FB6" w:rsidRDefault="00B411FE" w:rsidP="00D05F54">
      <w:pPr>
        <w:pStyle w:val="Heading1"/>
      </w:pPr>
      <w:r w:rsidRPr="00E80FB6">
        <w:t>Steps for Reviewing A</w:t>
      </w:r>
      <w:r w:rsidR="001C294D">
        <w:t>/</w:t>
      </w:r>
      <w:r w:rsidRPr="00E80FB6">
        <w:t>R aging report</w:t>
      </w:r>
    </w:p>
    <w:p w14:paraId="0ADDFD76" w14:textId="71AA2F43" w:rsidR="00F1313A" w:rsidRDefault="0003529A" w:rsidP="00D05F54">
      <w:pPr>
        <w:pStyle w:val="Bullet1"/>
      </w:pPr>
      <w:r>
        <w:t>If starting with charges</w:t>
      </w:r>
      <w:r w:rsidR="00B005E5">
        <w:t xml:space="preserve"> </w:t>
      </w:r>
      <w:r w:rsidR="0080554D">
        <w:t>(this data is most easily accessible)</w:t>
      </w:r>
      <w:r>
        <w:t>,</w:t>
      </w:r>
      <w:r w:rsidR="0080554D">
        <w:t xml:space="preserve"> first adjust the dollars owed to the amount</w:t>
      </w:r>
      <w:r w:rsidR="004F2BBE">
        <w:t xml:space="preserve"> you expect to receive</w:t>
      </w:r>
      <w:r w:rsidR="0080554D">
        <w:t>.</w:t>
      </w:r>
      <w:r w:rsidR="0080554D">
        <w:rPr>
          <w:rStyle w:val="FootnoteReference"/>
        </w:rPr>
        <w:footnoteReference w:id="2"/>
      </w:r>
      <w:r w:rsidR="0080554D">
        <w:t xml:space="preserve"> </w:t>
      </w:r>
    </w:p>
    <w:p w14:paraId="788C9E01" w14:textId="0151485A" w:rsidR="00430C00" w:rsidRPr="00046556" w:rsidRDefault="00621CC7" w:rsidP="00CB5847">
      <w:pPr>
        <w:pStyle w:val="Bullet2"/>
        <w:rPr>
          <w:i/>
        </w:rPr>
      </w:pPr>
      <w:r w:rsidRPr="00046556">
        <w:rPr>
          <w:i/>
        </w:rPr>
        <w:t>TIP</w:t>
      </w:r>
      <w:r w:rsidR="00B411FE" w:rsidRPr="00046556">
        <w:rPr>
          <w:i/>
        </w:rPr>
        <w:t>: Set up your</w:t>
      </w:r>
      <w:r w:rsidR="009100FE" w:rsidRPr="00046556">
        <w:rPr>
          <w:i/>
        </w:rPr>
        <w:t xml:space="preserve"> </w:t>
      </w:r>
      <w:r w:rsidRPr="00046556">
        <w:rPr>
          <w:i/>
        </w:rPr>
        <w:t>system to</w:t>
      </w:r>
      <w:r w:rsidR="009100FE" w:rsidRPr="00046556">
        <w:rPr>
          <w:i/>
        </w:rPr>
        <w:t xml:space="preserve"> compare payments to expected contractual amounts so you can easily determine when full payments </w:t>
      </w:r>
      <w:r w:rsidR="008C0430" w:rsidRPr="00046556">
        <w:rPr>
          <w:i/>
        </w:rPr>
        <w:t>versus</w:t>
      </w:r>
      <w:r w:rsidR="009100FE" w:rsidRPr="00046556">
        <w:rPr>
          <w:i/>
        </w:rPr>
        <w:t xml:space="preserve"> partial payments are made.  </w:t>
      </w:r>
    </w:p>
    <w:p w14:paraId="459688E5" w14:textId="59D1D4C5" w:rsidR="00B411FE" w:rsidRPr="00E80FB6" w:rsidRDefault="001C294D" w:rsidP="00D05F54">
      <w:pPr>
        <w:pStyle w:val="Bullet1"/>
      </w:pPr>
      <w:r>
        <w:t>Look at the aggregate report</w:t>
      </w:r>
      <w:r w:rsidR="001C126C">
        <w:t xml:space="preserve"> and identify what stands out. </w:t>
      </w:r>
      <w:r w:rsidR="00B411FE" w:rsidRPr="00E80FB6">
        <w:t>Compare months to determine trends such as if billing and collections are improving, getting wo</w:t>
      </w:r>
      <w:r w:rsidR="001C126C">
        <w:t xml:space="preserve">rse or staying about the same. </w:t>
      </w:r>
      <w:r w:rsidR="00B411FE" w:rsidRPr="00E80FB6">
        <w:t>You are looking for steady, pos</w:t>
      </w:r>
      <w:r w:rsidR="001C126C">
        <w:t xml:space="preserve">itive trends and correlations. </w:t>
      </w:r>
      <w:r w:rsidR="00B411FE" w:rsidRPr="00E80FB6">
        <w:t>As an example, if there was simil</w:t>
      </w:r>
      <w:r>
        <w:t>ar patient volume in two months,</w:t>
      </w:r>
      <w:r w:rsidR="00B411FE" w:rsidRPr="00E80FB6">
        <w:t xml:space="preserve"> you would expect similar revenue.  </w:t>
      </w:r>
    </w:p>
    <w:p w14:paraId="3B0E8ED6" w14:textId="61DC5F6F" w:rsidR="00295ABB" w:rsidRDefault="00295ABB" w:rsidP="00D05F54">
      <w:pPr>
        <w:pStyle w:val="Bullet1"/>
      </w:pPr>
      <w:r w:rsidRPr="00E80FB6">
        <w:t>The largest A/R amount should be in the first age bucket as it will include current charges</w:t>
      </w:r>
      <w:r w:rsidR="001C126C">
        <w:t xml:space="preserve"> or claims most recent</w:t>
      </w:r>
      <w:r w:rsidR="001C294D">
        <w:t>ly</w:t>
      </w:r>
      <w:r w:rsidR="001C126C">
        <w:t xml:space="preserve"> billed. </w:t>
      </w:r>
      <w:r w:rsidRPr="00E80FB6">
        <w:t xml:space="preserve">This bucket will experience the highest amount of denials and unprocessed reimbursements. </w:t>
      </w:r>
    </w:p>
    <w:p w14:paraId="12E2529E" w14:textId="4FFB0CC3" w:rsidR="00882B94" w:rsidRPr="00046556" w:rsidRDefault="00882B94" w:rsidP="00CB5847">
      <w:pPr>
        <w:pStyle w:val="Bullet2"/>
        <w:rPr>
          <w:i/>
        </w:rPr>
      </w:pPr>
      <w:r w:rsidRPr="00046556">
        <w:rPr>
          <w:i/>
        </w:rPr>
        <w:t>TIP: The A/R amounts should decline in each subsequent a</w:t>
      </w:r>
      <w:r w:rsidR="00BE4E70" w:rsidRPr="00046556">
        <w:rPr>
          <w:i/>
        </w:rPr>
        <w:t xml:space="preserve">ge bucket. If there is a jump in </w:t>
      </w:r>
      <w:r w:rsidR="001C294D" w:rsidRPr="00046556">
        <w:rPr>
          <w:i/>
        </w:rPr>
        <w:t>amounts in any older age bucket</w:t>
      </w:r>
      <w:r w:rsidR="00BE4E70" w:rsidRPr="00046556">
        <w:rPr>
          <w:i/>
        </w:rPr>
        <w:t xml:space="preserve"> this may be an issue to look into. </w:t>
      </w:r>
      <w:r w:rsidR="00F97007" w:rsidRPr="00046556">
        <w:rPr>
          <w:i/>
        </w:rPr>
        <w:t>An example of a</w:t>
      </w:r>
      <w:r w:rsidR="004B2064" w:rsidRPr="00046556">
        <w:rPr>
          <w:i/>
        </w:rPr>
        <w:t>n</w:t>
      </w:r>
      <w:r w:rsidR="00F97007" w:rsidRPr="00046556">
        <w:rPr>
          <w:i/>
        </w:rPr>
        <w:t xml:space="preserve"> issue would be Medicaid 1 and 2 in November in the 61-90 bucket</w:t>
      </w:r>
      <w:r w:rsidR="004F2BBE" w:rsidRPr="00046556">
        <w:rPr>
          <w:i/>
        </w:rPr>
        <w:t xml:space="preserve"> in the sample monthly A/R report above</w:t>
      </w:r>
      <w:r w:rsidR="00F97007" w:rsidRPr="00046556">
        <w:rPr>
          <w:i/>
        </w:rPr>
        <w:t>.</w:t>
      </w:r>
    </w:p>
    <w:p w14:paraId="388A72D2" w14:textId="276C72AE" w:rsidR="00531CED" w:rsidRPr="00E80FB6" w:rsidRDefault="001B7482" w:rsidP="00CB5847">
      <w:pPr>
        <w:pStyle w:val="Bullet1"/>
      </w:pPr>
      <w:r w:rsidRPr="00E80FB6">
        <w:t xml:space="preserve">If your charges </w:t>
      </w:r>
      <w:r w:rsidR="003C1170">
        <w:t xml:space="preserve">and therefore expected revenue </w:t>
      </w:r>
      <w:r w:rsidRPr="00E80FB6">
        <w:t xml:space="preserve">increase in one month, (review a </w:t>
      </w:r>
      <w:r w:rsidRPr="00FA5B2F">
        <w:rPr>
          <w:b/>
          <w:color w:val="008C3E"/>
        </w:rPr>
        <w:t>Charge Report</w:t>
      </w:r>
      <w:r w:rsidRPr="00E80FB6">
        <w:t>) your A/R should increase that month, and co</w:t>
      </w:r>
      <w:r w:rsidR="001C126C">
        <w:t xml:space="preserve">llections the following month. </w:t>
      </w:r>
      <w:r w:rsidR="001C294D">
        <w:t>If charges increase one month</w:t>
      </w:r>
      <w:r w:rsidRPr="00E80FB6">
        <w:t xml:space="preserve"> but collections don’t increase in the subsequent </w:t>
      </w:r>
      <w:r w:rsidR="001C126C">
        <w:t xml:space="preserve">month, this could be an issue. </w:t>
      </w:r>
      <w:r w:rsidRPr="00E80FB6">
        <w:t>This would require more specific A</w:t>
      </w:r>
      <w:r w:rsidR="008C0430" w:rsidRPr="00E80FB6">
        <w:t>/</w:t>
      </w:r>
      <w:r w:rsidRPr="00E80FB6">
        <w:t xml:space="preserve">R work. </w:t>
      </w:r>
    </w:p>
    <w:p w14:paraId="3263BC47" w14:textId="4B1B7DE7" w:rsidR="008346F5" w:rsidRPr="00E80FB6" w:rsidRDefault="008346F5" w:rsidP="00CB5847">
      <w:pPr>
        <w:pStyle w:val="Bullet1"/>
      </w:pPr>
      <w:r w:rsidRPr="00E80FB6">
        <w:t xml:space="preserve">An overall decrease in A/R is </w:t>
      </w:r>
      <w:r w:rsidR="002047F2">
        <w:t xml:space="preserve">generally </w:t>
      </w:r>
      <w:r w:rsidRPr="00E80FB6">
        <w:t>good</w:t>
      </w:r>
      <w:r w:rsidR="00BE4E70">
        <w:t xml:space="preserve">. </w:t>
      </w:r>
      <w:r w:rsidR="002047F2">
        <w:t>An</w:t>
      </w:r>
      <w:r w:rsidRPr="00E80FB6">
        <w:t xml:space="preserve"> except</w:t>
      </w:r>
      <w:r w:rsidR="002047F2">
        <w:t>ion would be</w:t>
      </w:r>
      <w:r w:rsidRPr="00E80FB6">
        <w:t xml:space="preserve"> when the decrease is due in large part to a decrease in the 0-30 </w:t>
      </w:r>
      <w:r w:rsidR="00706D5B" w:rsidRPr="00E80FB6">
        <w:t xml:space="preserve">age </w:t>
      </w:r>
      <w:r w:rsidR="001C126C">
        <w:t xml:space="preserve">bucket. </w:t>
      </w:r>
      <w:r w:rsidR="002047F2">
        <w:t>Another excepti</w:t>
      </w:r>
      <w:r w:rsidR="001C294D">
        <w:t>on would be a significant write-</w:t>
      </w:r>
      <w:r w:rsidR="002047F2">
        <w:t>off done for denial reasons you cannot overturn.</w:t>
      </w:r>
    </w:p>
    <w:p w14:paraId="373ACF67" w14:textId="17776918" w:rsidR="00621CC7" w:rsidRPr="00E80FB6" w:rsidRDefault="00B66632" w:rsidP="00CB5847">
      <w:pPr>
        <w:pStyle w:val="Bullet1"/>
      </w:pPr>
      <w:r w:rsidRPr="00E80FB6">
        <w:t>If there are more work days in one month, r</w:t>
      </w:r>
      <w:r w:rsidR="00975688" w:rsidRPr="00E80FB6">
        <w:t>evenues in the 0-</w:t>
      </w:r>
      <w:r w:rsidR="006D115A" w:rsidRPr="00E80FB6">
        <w:t xml:space="preserve">30 </w:t>
      </w:r>
      <w:r w:rsidR="00706D5B" w:rsidRPr="00E80FB6">
        <w:t xml:space="preserve">age </w:t>
      </w:r>
      <w:r w:rsidR="006D115A" w:rsidRPr="00E80FB6">
        <w:t>bucket shou</w:t>
      </w:r>
      <w:r w:rsidR="00CB0019" w:rsidRPr="00E80FB6">
        <w:t>ld increase by approximately 5</w:t>
      </w:r>
      <w:r w:rsidR="00975688" w:rsidRPr="00E80FB6">
        <w:t>% in a 22</w:t>
      </w:r>
      <w:r w:rsidR="00F62384">
        <w:t xml:space="preserve"> </w:t>
      </w:r>
      <w:r w:rsidR="00975688" w:rsidRPr="00E80FB6">
        <w:t xml:space="preserve">day month </w:t>
      </w:r>
      <w:r w:rsidR="008C0430" w:rsidRPr="00E80FB6">
        <w:t>versus</w:t>
      </w:r>
      <w:r w:rsidR="00975688" w:rsidRPr="00E80FB6">
        <w:t xml:space="preserve"> a 21 day month if visits</w:t>
      </w:r>
      <w:r w:rsidR="006915D2" w:rsidRPr="00E80FB6">
        <w:t>/day</w:t>
      </w:r>
      <w:r w:rsidR="001C294D">
        <w:t>s</w:t>
      </w:r>
      <w:r w:rsidR="006915D2" w:rsidRPr="00E80FB6">
        <w:t xml:space="preserve"> were similar each month</w:t>
      </w:r>
      <w:r w:rsidR="00975688" w:rsidRPr="00E80FB6">
        <w:t>, assuming a relatively stable mix of services.</w:t>
      </w:r>
      <w:r w:rsidR="003C1170">
        <w:t xml:space="preserve"> An example of an issue can be observed in the August ($275,789) versus the September ($248,996) 0-</w:t>
      </w:r>
      <w:r w:rsidR="00B42439">
        <w:t>30 bucket</w:t>
      </w:r>
      <w:r w:rsidR="00AE19E9">
        <w:t xml:space="preserve"> </w:t>
      </w:r>
      <w:r w:rsidR="00AE19E9">
        <w:rPr>
          <w:i/>
        </w:rPr>
        <w:t>in the sample monthly A/R report above</w:t>
      </w:r>
      <w:r w:rsidR="00CB5847">
        <w:t>.</w:t>
      </w:r>
    </w:p>
    <w:p w14:paraId="66337390" w14:textId="042A3CF7" w:rsidR="00975688" w:rsidRPr="00CB5847" w:rsidRDefault="00621CC7" w:rsidP="00CB5847">
      <w:pPr>
        <w:pStyle w:val="Bullet2"/>
      </w:pPr>
      <w:r w:rsidRPr="00D05F54">
        <w:t>Uncovering the reason for differences between months</w:t>
      </w:r>
      <w:r w:rsidR="002047F2" w:rsidRPr="00D05F54">
        <w:t xml:space="preserve"> (an example might be that billing for one payer did not get processed during one month)</w:t>
      </w:r>
      <w:r w:rsidRPr="00D05F54">
        <w:t xml:space="preserve"> </w:t>
      </w:r>
      <w:r w:rsidR="00367E98" w:rsidRPr="00D05F54">
        <w:t xml:space="preserve">is critical to develop strategies to avoid this </w:t>
      </w:r>
      <w:r w:rsidR="00367E98" w:rsidRPr="00CB5847">
        <w:t>issue in</w:t>
      </w:r>
      <w:r w:rsidR="00CB5847">
        <w:t xml:space="preserve"> the future.</w:t>
      </w:r>
    </w:p>
    <w:p w14:paraId="5EE550A6" w14:textId="0AFA657C" w:rsidR="00621CC7" w:rsidRPr="00E80FB6" w:rsidRDefault="001B7482" w:rsidP="00CB5847">
      <w:pPr>
        <w:pStyle w:val="Bullet1"/>
      </w:pPr>
      <w:r w:rsidRPr="00E80FB6">
        <w:t>In the</w:t>
      </w:r>
      <w:r w:rsidR="00AE19E9" w:rsidRPr="00AE19E9">
        <w:rPr>
          <w:i/>
        </w:rPr>
        <w:t xml:space="preserve"> </w:t>
      </w:r>
      <w:r w:rsidR="00AE19E9">
        <w:rPr>
          <w:i/>
        </w:rPr>
        <w:t>sample monthly A/R report above</w:t>
      </w:r>
      <w:r w:rsidR="009100FE" w:rsidRPr="00E80FB6">
        <w:t>, note the increase in the commer</w:t>
      </w:r>
      <w:r w:rsidR="001C126C">
        <w:t xml:space="preserve">cial 2 in the over 365 bucket. </w:t>
      </w:r>
      <w:r w:rsidR="00621CC7" w:rsidRPr="00E80FB6">
        <w:t>Y</w:t>
      </w:r>
      <w:r w:rsidR="009100FE" w:rsidRPr="00E80FB6">
        <w:t xml:space="preserve">ou will </w:t>
      </w:r>
      <w:r w:rsidR="00432024" w:rsidRPr="00E80FB6">
        <w:t>typically</w:t>
      </w:r>
      <w:r w:rsidR="009100FE" w:rsidRPr="00E80FB6">
        <w:t xml:space="preserve"> write off accounts after 365 days</w:t>
      </w:r>
      <w:r w:rsidR="004D57B1" w:rsidRPr="00E80FB6">
        <w:t xml:space="preserve">. </w:t>
      </w:r>
    </w:p>
    <w:p w14:paraId="1E53DB61" w14:textId="4313FFE4" w:rsidR="00432024" w:rsidRPr="00E80FB6" w:rsidRDefault="00AE19E9" w:rsidP="00CB5847">
      <w:pPr>
        <w:pStyle w:val="Bullet1"/>
      </w:pPr>
      <w:r>
        <w:rPr>
          <w:i/>
        </w:rPr>
        <w:t>In the sample monthly A/R report above,</w:t>
      </w:r>
      <w:r w:rsidRPr="00E80FB6">
        <w:t xml:space="preserve"> </w:t>
      </w:r>
      <w:r>
        <w:t>n</w:t>
      </w:r>
      <w:r w:rsidR="00531CED" w:rsidRPr="00E80FB6">
        <w:t xml:space="preserve">ote that Patient Fees </w:t>
      </w:r>
      <w:proofErr w:type="gramStart"/>
      <w:r w:rsidR="00531CED" w:rsidRPr="00E80FB6">
        <w:t>After</w:t>
      </w:r>
      <w:proofErr w:type="gramEnd"/>
      <w:r w:rsidR="00531CED" w:rsidRPr="00E80FB6">
        <w:t xml:space="preserve"> Insurance is trending up. This category presents challenges as the fees are often generated after the patient has left the office</w:t>
      </w:r>
      <w:r w:rsidR="004C14FC">
        <w:t>.</w:t>
      </w:r>
    </w:p>
    <w:p w14:paraId="1FB9B7C8" w14:textId="37256E25" w:rsidR="00E80FB6" w:rsidRPr="00046556" w:rsidRDefault="00432024" w:rsidP="00CB5847">
      <w:pPr>
        <w:pStyle w:val="Bullet2"/>
        <w:spacing w:after="120"/>
        <w:rPr>
          <w:i/>
        </w:rPr>
      </w:pPr>
      <w:r w:rsidRPr="00046556">
        <w:rPr>
          <w:i/>
        </w:rPr>
        <w:t>TIP: I</w:t>
      </w:r>
      <w:r w:rsidR="00531CED" w:rsidRPr="00046556">
        <w:rPr>
          <w:i/>
        </w:rPr>
        <w:t>dentify these amounts while the patient is still in the office, communicate the balance, and collect any portion you can are effective strategies to</w:t>
      </w:r>
      <w:r w:rsidR="001B7482" w:rsidRPr="00046556">
        <w:rPr>
          <w:i/>
        </w:rPr>
        <w:t xml:space="preserve"> decrease</w:t>
      </w:r>
      <w:r w:rsidR="008038A1" w:rsidRPr="00046556">
        <w:rPr>
          <w:i/>
        </w:rPr>
        <w:t xml:space="preserve"> the dollars in</w:t>
      </w:r>
      <w:r w:rsidR="00531CED" w:rsidRPr="00046556">
        <w:rPr>
          <w:i/>
        </w:rPr>
        <w:t xml:space="preserve"> these buckets.</w:t>
      </w:r>
    </w:p>
    <w:p w14:paraId="32CC24F6" w14:textId="11CC7090" w:rsidR="00432024" w:rsidRPr="00E80FB6" w:rsidRDefault="00E80FB6" w:rsidP="00CB5847">
      <w:pPr>
        <w:pStyle w:val="Heading1"/>
      </w:pPr>
      <w:r w:rsidRPr="00E80FB6">
        <w:t>W</w:t>
      </w:r>
      <w:r w:rsidR="002047F2">
        <w:t xml:space="preserve">ays to </w:t>
      </w:r>
      <w:r w:rsidR="00EA524C">
        <w:t>V</w:t>
      </w:r>
      <w:r w:rsidR="002047F2">
        <w:t xml:space="preserve">iew </w:t>
      </w:r>
      <w:r w:rsidR="006B0A72">
        <w:t xml:space="preserve">the </w:t>
      </w:r>
      <w:r w:rsidR="00EA524C">
        <w:t>D</w:t>
      </w:r>
      <w:r w:rsidR="006B0A72">
        <w:t xml:space="preserve">etailed </w:t>
      </w:r>
      <w:r w:rsidR="00EA524C">
        <w:t>D</w:t>
      </w:r>
      <w:r w:rsidR="006B0A72">
        <w:t xml:space="preserve">ata </w:t>
      </w:r>
      <w:r w:rsidR="00EA524C">
        <w:t>N</w:t>
      </w:r>
      <w:r w:rsidR="006B0A72">
        <w:t xml:space="preserve">eeded to </w:t>
      </w:r>
      <w:r w:rsidR="00EA524C">
        <w:t>Wo</w:t>
      </w:r>
      <w:r w:rsidR="006B0A72">
        <w:t xml:space="preserve">rk </w:t>
      </w:r>
      <w:r w:rsidR="00EA524C">
        <w:t>S</w:t>
      </w:r>
      <w:r w:rsidR="006B0A72">
        <w:t xml:space="preserve">pecific A/R </w:t>
      </w:r>
      <w:r w:rsidR="00EA524C">
        <w:t>I</w:t>
      </w:r>
      <w:r w:rsidR="006B0A72">
        <w:t>ssues</w:t>
      </w:r>
    </w:p>
    <w:p w14:paraId="52DDD8AB" w14:textId="47B3512F" w:rsidR="006B0A72" w:rsidRPr="00F1313A" w:rsidRDefault="006B0A72" w:rsidP="00CB5847">
      <w:r w:rsidRPr="00F1313A">
        <w:t xml:space="preserve">In general, you would like to see claims being paid within </w:t>
      </w:r>
      <w:r w:rsidR="00BE4E70">
        <w:t>42</w:t>
      </w:r>
      <w:r w:rsidRPr="00F1313A">
        <w:t xml:space="preserve"> days</w:t>
      </w:r>
      <w:r w:rsidR="001A5272">
        <w:t xml:space="preserve"> (benchmark in the</w:t>
      </w:r>
      <w:r w:rsidR="00B63A55" w:rsidRPr="00B63A55">
        <w:t xml:space="preserve"> </w:t>
      </w:r>
      <w:r w:rsidR="00B63A55">
        <w:t xml:space="preserve">Title X </w:t>
      </w:r>
      <w:hyperlink r:id="rId11" w:history="1">
        <w:r w:rsidR="00B63A55" w:rsidRPr="00210515">
          <w:rPr>
            <w:rStyle w:val="Hyperlink"/>
          </w:rPr>
          <w:t>Financial Dashboard, a free resource available on the Sustainability Community of Practice</w:t>
        </w:r>
      </w:hyperlink>
      <w:r w:rsidR="001A5272">
        <w:t>)</w:t>
      </w:r>
      <w:r w:rsidRPr="00F1313A">
        <w:t>. If a claim</w:t>
      </w:r>
      <w:r w:rsidR="006A3298">
        <w:t xml:space="preserve"> isn’t paid or rejected within 42 days</w:t>
      </w:r>
      <w:r w:rsidRPr="00F1313A">
        <w:t xml:space="preserve">, there may be a problem. Utilize the methods below to identify common issues with claims being paid. </w:t>
      </w:r>
    </w:p>
    <w:p w14:paraId="5CB2B8C6" w14:textId="6B06ED25" w:rsidR="00A4186D" w:rsidRPr="00E80FB6" w:rsidRDefault="00A16467" w:rsidP="00CB5847">
      <w:pPr>
        <w:pStyle w:val="Bullet1"/>
      </w:pPr>
      <w:r w:rsidRPr="00E80FB6">
        <w:lastRenderedPageBreak/>
        <w:t>Set</w:t>
      </w:r>
      <w:r w:rsidR="00A4186D" w:rsidRPr="00E80FB6">
        <w:t xml:space="preserve"> up the monthly A/R aging report</w:t>
      </w:r>
      <w:r w:rsidR="009D06A4" w:rsidRPr="00E80FB6">
        <w:t xml:space="preserve"> to allow you to view</w:t>
      </w:r>
      <w:r w:rsidR="000B4866" w:rsidRPr="00E80FB6">
        <w:t xml:space="preserve"> and access</w:t>
      </w:r>
      <w:r w:rsidR="009D06A4" w:rsidRPr="00E80FB6">
        <w:t xml:space="preserve"> the detailed information that comprises any of the bucke</w:t>
      </w:r>
      <w:r w:rsidR="00A4186D" w:rsidRPr="00E80FB6">
        <w:t>t totals</w:t>
      </w:r>
      <w:r w:rsidR="009D06A4" w:rsidRPr="00E80FB6">
        <w:t xml:space="preserve"> (export data from your data system to an Excel sp</w:t>
      </w:r>
      <w:r w:rsidR="001C126C">
        <w:t xml:space="preserve">readsheet to accomplish this). </w:t>
      </w:r>
      <w:r w:rsidR="00A4186D" w:rsidRPr="00E80FB6">
        <w:t>That detail would include site, encounter level data, procedur</w:t>
      </w:r>
      <w:r w:rsidRPr="00E80FB6">
        <w:t>es/codes, dates of service</w:t>
      </w:r>
      <w:r w:rsidR="00A4186D" w:rsidRPr="00E80FB6">
        <w:t>, etc. Sorting by any of these elements could allow you to identify trends in a bucket, such as a new denial on a specific code</w:t>
      </w:r>
      <w:r w:rsidR="000B4866" w:rsidRPr="00E80FB6">
        <w:t>, partial payments of a particular service, etc</w:t>
      </w:r>
      <w:r w:rsidR="00A4186D" w:rsidRPr="00E80FB6">
        <w:t xml:space="preserve">.  </w:t>
      </w:r>
    </w:p>
    <w:p w14:paraId="4F6761BD" w14:textId="3EB891B8" w:rsidR="00F17A92" w:rsidRPr="00E80FB6" w:rsidRDefault="00831487" w:rsidP="00CB5847">
      <w:pPr>
        <w:pStyle w:val="Bullet1"/>
      </w:pPr>
      <w:r>
        <w:t>Review d</w:t>
      </w:r>
      <w:r w:rsidR="009100FE" w:rsidRPr="00E80FB6">
        <w:t>etailed</w:t>
      </w:r>
      <w:r w:rsidR="00F17A92" w:rsidRPr="00E80FB6">
        <w:t xml:space="preserve"> reports </w:t>
      </w:r>
      <w:r w:rsidR="00E34C4F" w:rsidRPr="00E80FB6">
        <w:t>from you</w:t>
      </w:r>
      <w:r w:rsidR="001B66B0" w:rsidRPr="00E80FB6">
        <w:t>r</w:t>
      </w:r>
      <w:r w:rsidR="00E34C4F" w:rsidRPr="00E80FB6">
        <w:t xml:space="preserve"> PM/EHR system such as </w:t>
      </w:r>
      <w:r w:rsidR="00E34C4F" w:rsidRPr="00FA5B2F">
        <w:rPr>
          <w:b/>
          <w:color w:val="008C3E"/>
        </w:rPr>
        <w:t>Claims Receivable for all TPP</w:t>
      </w:r>
      <w:r w:rsidR="00E34C4F" w:rsidRPr="00FA5B2F">
        <w:rPr>
          <w:color w:val="008C3E"/>
        </w:rPr>
        <w:t xml:space="preserve"> </w:t>
      </w:r>
      <w:r w:rsidR="00E34C4F" w:rsidRPr="00E80FB6">
        <w:t xml:space="preserve">or </w:t>
      </w:r>
      <w:r w:rsidR="00E34C4F" w:rsidRPr="00FA5B2F">
        <w:rPr>
          <w:b/>
          <w:color w:val="008C3E"/>
        </w:rPr>
        <w:t>Insurance Payment Trend Report, or Denied Claims</w:t>
      </w:r>
      <w:r w:rsidR="00E34C4F" w:rsidRPr="00FA5B2F">
        <w:rPr>
          <w:color w:val="008C3E"/>
        </w:rPr>
        <w:t xml:space="preserve"> </w:t>
      </w:r>
      <w:r w:rsidR="00E34C4F" w:rsidRPr="00E80FB6">
        <w:t xml:space="preserve">showing information such as: date of service, date filed, </w:t>
      </w:r>
      <w:r w:rsidR="006A3298">
        <w:t>services billed</w:t>
      </w:r>
      <w:r w:rsidR="00E34C4F" w:rsidRPr="00E80FB6">
        <w:t xml:space="preserve">, </w:t>
      </w:r>
      <w:r w:rsidR="000B4866" w:rsidRPr="00E80FB6">
        <w:t xml:space="preserve">dates monies posted, adjustments, </w:t>
      </w:r>
      <w:r w:rsidR="00E34C4F" w:rsidRPr="00E80FB6">
        <w:t xml:space="preserve">what amounts were collected, or what was denied. </w:t>
      </w:r>
    </w:p>
    <w:p w14:paraId="7CDEB615" w14:textId="1326BE9B" w:rsidR="00E80FB6" w:rsidRPr="00E7786A" w:rsidRDefault="00A4186D" w:rsidP="00CB5847">
      <w:pPr>
        <w:pStyle w:val="Bullet1"/>
      </w:pPr>
      <w:r w:rsidRPr="00E80FB6">
        <w:t>TPP websites also will provide the information necessary to work A/R claims.</w:t>
      </w:r>
    </w:p>
    <w:p w14:paraId="06FC4A6E" w14:textId="3FB66A40" w:rsidR="007F4A4F" w:rsidRPr="00E80FB6" w:rsidRDefault="007F4A4F" w:rsidP="00CB5847">
      <w:pPr>
        <w:pStyle w:val="Heading1"/>
        <w:spacing w:before="120"/>
      </w:pPr>
      <w:r w:rsidRPr="00E80FB6">
        <w:t xml:space="preserve">Strategies to </w:t>
      </w:r>
      <w:r w:rsidR="00D046FC">
        <w:t>R</w:t>
      </w:r>
      <w:r w:rsidRPr="00E80FB6">
        <w:t xml:space="preserve">esolve </w:t>
      </w:r>
      <w:r w:rsidR="00D046FC">
        <w:t>U</w:t>
      </w:r>
      <w:r w:rsidRPr="00E80FB6">
        <w:t xml:space="preserve">npaid or </w:t>
      </w:r>
      <w:r w:rsidR="00D046FC">
        <w:t>R</w:t>
      </w:r>
      <w:r w:rsidRPr="00E80FB6">
        <w:t xml:space="preserve">ejected </w:t>
      </w:r>
      <w:r w:rsidR="00D046FC">
        <w:t>C</w:t>
      </w:r>
      <w:r w:rsidRPr="00E80FB6">
        <w:t>laims</w:t>
      </w:r>
    </w:p>
    <w:p w14:paraId="17C008BF" w14:textId="5DD07B49" w:rsidR="004F4215" w:rsidRPr="00E80FB6" w:rsidRDefault="004F4215" w:rsidP="00CB5847">
      <w:pPr>
        <w:pStyle w:val="Bullet1"/>
      </w:pPr>
      <w:r w:rsidRPr="00E80FB6">
        <w:t xml:space="preserve">Review the entire </w:t>
      </w:r>
      <w:r w:rsidR="006B0A72" w:rsidRPr="00FA5B2F">
        <w:rPr>
          <w:b/>
          <w:color w:val="008C3E"/>
        </w:rPr>
        <w:t>Claims Receivable R</w:t>
      </w:r>
      <w:r w:rsidRPr="00FA5B2F">
        <w:rPr>
          <w:b/>
          <w:color w:val="008C3E"/>
        </w:rPr>
        <w:t>eport</w:t>
      </w:r>
      <w:r w:rsidR="001C294D" w:rsidRPr="00FA5B2F">
        <w:rPr>
          <w:color w:val="008C3E"/>
        </w:rPr>
        <w:t xml:space="preserve"> </w:t>
      </w:r>
      <w:r w:rsidRPr="00E80FB6">
        <w:t xml:space="preserve">and identify any claims where no payment has been received.  </w:t>
      </w:r>
    </w:p>
    <w:p w14:paraId="3D1C565D" w14:textId="77777777" w:rsidR="00B66632" w:rsidRPr="00E80FB6" w:rsidRDefault="004F4215" w:rsidP="00CB5847">
      <w:pPr>
        <w:pStyle w:val="Bullet1"/>
      </w:pPr>
      <w:r w:rsidRPr="00E80FB6">
        <w:t>Identify any repeating issues by payer</w:t>
      </w:r>
      <w:r w:rsidR="00B66632" w:rsidRPr="00E80FB6">
        <w:t xml:space="preserve"> such as </w:t>
      </w:r>
      <w:r w:rsidRPr="00E80FB6">
        <w:t xml:space="preserve">multiple claims for </w:t>
      </w:r>
      <w:r w:rsidR="00B66632" w:rsidRPr="00E80FB6">
        <w:t xml:space="preserve">the </w:t>
      </w:r>
      <w:r w:rsidRPr="00E80FB6">
        <w:t>same dollar amount that have not been paid</w:t>
      </w:r>
      <w:r w:rsidR="00434E61" w:rsidRPr="00E80FB6">
        <w:t>/partially paid</w:t>
      </w:r>
      <w:r w:rsidRPr="00E80FB6">
        <w:t>, payers where little or no payment has occurre</w:t>
      </w:r>
      <w:r w:rsidR="00707D7C" w:rsidRPr="00E80FB6">
        <w:t>d</w:t>
      </w:r>
      <w:r w:rsidRPr="00E80FB6">
        <w:t xml:space="preserve">, and large dollar amount balance due claims regardless </w:t>
      </w:r>
      <w:r w:rsidR="00707D7C" w:rsidRPr="00E80FB6">
        <w:t xml:space="preserve">of the payer, and </w:t>
      </w:r>
      <w:r w:rsidRPr="00E80FB6">
        <w:t xml:space="preserve">prioritize these.  </w:t>
      </w:r>
    </w:p>
    <w:p w14:paraId="0329F280" w14:textId="77777777" w:rsidR="004F4215" w:rsidRPr="00046556" w:rsidRDefault="00B66632" w:rsidP="00CB5847">
      <w:pPr>
        <w:pStyle w:val="Bullet2"/>
        <w:rPr>
          <w:i/>
        </w:rPr>
      </w:pPr>
      <w:r w:rsidRPr="00046556">
        <w:rPr>
          <w:i/>
        </w:rPr>
        <w:t xml:space="preserve">TIP: </w:t>
      </w:r>
      <w:r w:rsidR="004F4215" w:rsidRPr="00046556">
        <w:rPr>
          <w:i/>
        </w:rPr>
        <w:t>Disregard this instruction for the charges/claims that have gone out in the current month.</w:t>
      </w:r>
    </w:p>
    <w:p w14:paraId="30450456" w14:textId="70971584" w:rsidR="004E6A68" w:rsidRPr="00C55119" w:rsidRDefault="004F4215" w:rsidP="00CB5847">
      <w:pPr>
        <w:pStyle w:val="Bullet1"/>
      </w:pPr>
      <w:r w:rsidRPr="00C55119">
        <w:t>Using this list, focus</w:t>
      </w:r>
      <w:r w:rsidR="007C3F2C" w:rsidRPr="00C55119">
        <w:t xml:space="preserve"> on those that are older than 90</w:t>
      </w:r>
      <w:r w:rsidRPr="00C55119">
        <w:t xml:space="preserve"> days </w:t>
      </w:r>
      <w:r w:rsidR="00707D7C" w:rsidRPr="00C55119">
        <w:t>first</w:t>
      </w:r>
      <w:r w:rsidRPr="00C55119">
        <w:t>.</w:t>
      </w:r>
      <w:r w:rsidR="007C3F2C" w:rsidRPr="00C55119">
        <w:t xml:space="preserve"> It is critical for you to get the claim/claim issues handled at this point as you might encounter filing deadlines.</w:t>
      </w:r>
      <w:r w:rsidR="00C55119" w:rsidRPr="00C55119">
        <w:t xml:space="preserve"> </w:t>
      </w:r>
      <w:r w:rsidRPr="00C55119">
        <w:t>Thi</w:t>
      </w:r>
      <w:r w:rsidR="00D22AB3" w:rsidRPr="00C55119">
        <w:t xml:space="preserve">s will require going into each </w:t>
      </w:r>
      <w:r w:rsidR="00D22AB3" w:rsidRPr="00C55119">
        <w:rPr>
          <w:b/>
          <w:color w:val="008C3E"/>
        </w:rPr>
        <w:t>C</w:t>
      </w:r>
      <w:r w:rsidRPr="00C55119">
        <w:rPr>
          <w:b/>
          <w:color w:val="008C3E"/>
        </w:rPr>
        <w:t xml:space="preserve">lient </w:t>
      </w:r>
      <w:r w:rsidR="00D22AB3" w:rsidRPr="00C55119">
        <w:rPr>
          <w:b/>
          <w:color w:val="008C3E"/>
        </w:rPr>
        <w:t>Charge</w:t>
      </w:r>
      <w:r w:rsidR="00A021E6" w:rsidRPr="00C55119">
        <w:rPr>
          <w:b/>
          <w:color w:val="008C3E"/>
        </w:rPr>
        <w:t>/Activity</w:t>
      </w:r>
      <w:r w:rsidR="00D22AB3" w:rsidRPr="00C55119">
        <w:rPr>
          <w:b/>
          <w:color w:val="008C3E"/>
        </w:rPr>
        <w:t xml:space="preserve"> File</w:t>
      </w:r>
      <w:r w:rsidRPr="00C55119">
        <w:rPr>
          <w:color w:val="008C3E"/>
        </w:rPr>
        <w:t xml:space="preserve"> </w:t>
      </w:r>
      <w:r w:rsidRPr="00C55119">
        <w:t>and specifically looking at details</w:t>
      </w:r>
      <w:r w:rsidR="00C55119" w:rsidRPr="00C55119">
        <w:t xml:space="preserve"> such as</w:t>
      </w:r>
      <w:r w:rsidRPr="00C55119">
        <w:t xml:space="preserve"> </w:t>
      </w:r>
      <w:r w:rsidR="00432024" w:rsidRPr="00C55119">
        <w:t>charges</w:t>
      </w:r>
      <w:r w:rsidRPr="00C55119">
        <w:t xml:space="preserve"> filed 6 months ago</w:t>
      </w:r>
      <w:r w:rsidR="00B66632" w:rsidRPr="00C55119">
        <w:t xml:space="preserve"> with </w:t>
      </w:r>
      <w:r w:rsidRPr="00C55119">
        <w:t>no correspondence back</w:t>
      </w:r>
      <w:r w:rsidR="00B66632" w:rsidRPr="00C55119">
        <w:t xml:space="preserve"> from payers</w:t>
      </w:r>
      <w:r w:rsidR="00432024" w:rsidRPr="00C55119">
        <w:t>, charges</w:t>
      </w:r>
      <w:r w:rsidRPr="00C55119">
        <w:t xml:space="preserve"> filed, denial received, </w:t>
      </w:r>
      <w:r w:rsidR="00B66632" w:rsidRPr="00C55119">
        <w:t xml:space="preserve">or </w:t>
      </w:r>
      <w:r w:rsidR="001C294D" w:rsidRPr="00C55119">
        <w:t>no follow-</w:t>
      </w:r>
      <w:r w:rsidRPr="00C55119">
        <w:t>up</w:t>
      </w:r>
      <w:r w:rsidR="00B66632" w:rsidRPr="00C55119">
        <w:t xml:space="preserve">. Make sure to </w:t>
      </w:r>
      <w:r w:rsidR="00432024" w:rsidRPr="00C55119">
        <w:t>note the</w:t>
      </w:r>
      <w:r w:rsidRPr="00C55119">
        <w:t xml:space="preserve"> denial reason.</w:t>
      </w:r>
      <w:r w:rsidR="007C3F2C" w:rsidRPr="00C55119">
        <w:t xml:space="preserve">  </w:t>
      </w:r>
    </w:p>
    <w:p w14:paraId="62C41F8C" w14:textId="6B56D415" w:rsidR="004F4215" w:rsidRPr="00E80FB6" w:rsidRDefault="004F4215" w:rsidP="00CB5847">
      <w:pPr>
        <w:pStyle w:val="Bullet1"/>
      </w:pPr>
      <w:r w:rsidRPr="00E80FB6">
        <w:t>W</w:t>
      </w:r>
      <w:r w:rsidR="001C294D">
        <w:t>hen payments have been received</w:t>
      </w:r>
      <w:r w:rsidRPr="00E80FB6">
        <w:t xml:space="preserve"> but are not equal to the</w:t>
      </w:r>
      <w:r w:rsidR="00206594">
        <w:t xml:space="preserve"> </w:t>
      </w:r>
      <w:r w:rsidR="00C55119">
        <w:t>expected payment</w:t>
      </w:r>
      <w:r w:rsidRPr="00E80FB6">
        <w:t>, investiga</w:t>
      </w:r>
      <w:r w:rsidR="001C294D">
        <w:t xml:space="preserve">te if it should be a write-off </w:t>
      </w:r>
      <w:r w:rsidRPr="00E80FB6">
        <w:t>(compare payments to contractual amoun</w:t>
      </w:r>
      <w:r w:rsidR="007C3F2C" w:rsidRPr="00E80FB6">
        <w:t xml:space="preserve">ts – </w:t>
      </w:r>
      <w:r w:rsidRPr="00E80FB6">
        <w:t xml:space="preserve">or a rebill of the </w:t>
      </w:r>
      <w:r w:rsidR="001C294D">
        <w:t>remaining amount (underpayment)</w:t>
      </w:r>
      <w:r w:rsidRPr="00E80FB6">
        <w:t xml:space="preserve"> either to the insurance company or to the client.</w:t>
      </w:r>
    </w:p>
    <w:p w14:paraId="18FB2291" w14:textId="26168DCB" w:rsidR="004F4215" w:rsidRPr="00E80FB6" w:rsidRDefault="004F4215" w:rsidP="00CB5847">
      <w:pPr>
        <w:pStyle w:val="Bullet1"/>
      </w:pPr>
      <w:r w:rsidRPr="00E80FB6">
        <w:t>Once the above work has been completed, rebill in the c</w:t>
      </w:r>
      <w:r w:rsidR="004E6A68" w:rsidRPr="00E80FB6">
        <w:t>a</w:t>
      </w:r>
      <w:r w:rsidR="001C126C">
        <w:t xml:space="preserve">ses that it is clear </w:t>
      </w:r>
      <w:r w:rsidR="00AD3317">
        <w:t>you should</w:t>
      </w:r>
      <w:r w:rsidR="001C126C">
        <w:t xml:space="preserve"> do so. </w:t>
      </w:r>
      <w:r w:rsidR="004E6A68" w:rsidRPr="00E80FB6">
        <w:t xml:space="preserve">If notes/written documentation from the </w:t>
      </w:r>
      <w:r w:rsidR="00AD3317">
        <w:t xml:space="preserve">TPP </w:t>
      </w:r>
      <w:r w:rsidR="004E6A68" w:rsidRPr="00E80FB6">
        <w:t>don’t tell you why a particular claim was rejected, or if you are not sure how to correct the claim for resubmission, call the claims representative and ask specific question</w:t>
      </w:r>
      <w:r w:rsidR="00611C6B" w:rsidRPr="00E80FB6">
        <w:t>s</w:t>
      </w:r>
      <w:r w:rsidR="004E6A68" w:rsidRPr="00E80FB6">
        <w:t xml:space="preserve"> for each of the specific claims. </w:t>
      </w:r>
      <w:r w:rsidR="002F0509" w:rsidRPr="00E80FB6">
        <w:t>Make notes for yourself or other team members so that future errors of the type you just corrected are not made again.</w:t>
      </w:r>
    </w:p>
    <w:p w14:paraId="7569CCF2" w14:textId="242F7177" w:rsidR="00AC3879" w:rsidRPr="00046556" w:rsidRDefault="00AC3879" w:rsidP="00CB5847">
      <w:pPr>
        <w:pStyle w:val="Bullet2"/>
        <w:rPr>
          <w:i/>
        </w:rPr>
      </w:pPr>
      <w:r w:rsidRPr="00046556">
        <w:rPr>
          <w:i/>
        </w:rPr>
        <w:t>TIP: Foster</w:t>
      </w:r>
      <w:r w:rsidR="00432024" w:rsidRPr="00046556">
        <w:rPr>
          <w:i/>
        </w:rPr>
        <w:t xml:space="preserve"> a good relationship with </w:t>
      </w:r>
      <w:r w:rsidR="00D046FC" w:rsidRPr="00046556">
        <w:rPr>
          <w:i/>
        </w:rPr>
        <w:t>your</w:t>
      </w:r>
      <w:r w:rsidR="00432024" w:rsidRPr="00046556">
        <w:rPr>
          <w:i/>
        </w:rPr>
        <w:t xml:space="preserve"> </w:t>
      </w:r>
      <w:r w:rsidR="00AD3317" w:rsidRPr="00046556">
        <w:rPr>
          <w:i/>
        </w:rPr>
        <w:t xml:space="preserve">TPP </w:t>
      </w:r>
      <w:r w:rsidR="00432024" w:rsidRPr="00046556">
        <w:rPr>
          <w:i/>
        </w:rPr>
        <w:t>contact</w:t>
      </w:r>
      <w:r w:rsidR="00D046FC" w:rsidRPr="00046556">
        <w:rPr>
          <w:i/>
        </w:rPr>
        <w:t>.</w:t>
      </w:r>
    </w:p>
    <w:p w14:paraId="76E8498F" w14:textId="77777777" w:rsidR="007F4A4F" w:rsidRPr="00E80FB6" w:rsidRDefault="00707D7C" w:rsidP="00CB5847">
      <w:pPr>
        <w:pStyle w:val="Bullet1"/>
      </w:pPr>
      <w:r w:rsidRPr="00E80FB6">
        <w:t xml:space="preserve">If you </w:t>
      </w:r>
      <w:r w:rsidR="007F4A4F" w:rsidRPr="00E80FB6">
        <w:t>are a sub-recipient or grantee agency</w:t>
      </w:r>
      <w:r w:rsidRPr="00E80FB6">
        <w:t>, c</w:t>
      </w:r>
      <w:r w:rsidR="004F4215" w:rsidRPr="00E80FB6">
        <w:t xml:space="preserve">onsider comparing notes </w:t>
      </w:r>
      <w:r w:rsidR="007F4A4F" w:rsidRPr="00E80FB6">
        <w:t xml:space="preserve">about issues with specific payers </w:t>
      </w:r>
      <w:r w:rsidR="004F4215" w:rsidRPr="00E80FB6">
        <w:t>among</w:t>
      </w:r>
      <w:r w:rsidR="007F4A4F" w:rsidRPr="00E80FB6">
        <w:t xml:space="preserve"> clinics</w:t>
      </w:r>
      <w:r w:rsidR="004F4215" w:rsidRPr="00E80FB6">
        <w:t xml:space="preserve"> </w:t>
      </w:r>
      <w:r w:rsidR="007F4A4F" w:rsidRPr="00E80FB6">
        <w:t xml:space="preserve">within your </w:t>
      </w:r>
      <w:r w:rsidR="00432024" w:rsidRPr="00E80FB6">
        <w:t xml:space="preserve">network. </w:t>
      </w:r>
    </w:p>
    <w:p w14:paraId="485AF7A6" w14:textId="77777777" w:rsidR="00402816" w:rsidRPr="00CB5847" w:rsidRDefault="007F4A4F" w:rsidP="00CB5847">
      <w:pPr>
        <w:pStyle w:val="Bullet2"/>
        <w:rPr>
          <w:i/>
        </w:rPr>
      </w:pPr>
      <w:r w:rsidRPr="00CB5847">
        <w:rPr>
          <w:i/>
        </w:rPr>
        <w:t>TIP: Identify</w:t>
      </w:r>
      <w:r w:rsidR="004F4215" w:rsidRPr="00CB5847">
        <w:rPr>
          <w:i/>
        </w:rPr>
        <w:t xml:space="preserve"> one person</w:t>
      </w:r>
      <w:r w:rsidRPr="00CB5847">
        <w:rPr>
          <w:i/>
        </w:rPr>
        <w:t xml:space="preserve"> within your network to</w:t>
      </w:r>
      <w:r w:rsidR="004F4215" w:rsidRPr="00CB5847">
        <w:rPr>
          <w:i/>
        </w:rPr>
        <w:t xml:space="preserve"> be the contact person with a specific payer. </w:t>
      </w:r>
    </w:p>
    <w:p w14:paraId="64DB6927" w14:textId="59BA4108" w:rsidR="00432024" w:rsidRPr="00E80FB6" w:rsidRDefault="004F4215" w:rsidP="00CB5847">
      <w:pPr>
        <w:pStyle w:val="Bullet1"/>
      </w:pPr>
      <w:r w:rsidRPr="00E80FB6">
        <w:t xml:space="preserve">When you note errors either from your clinicians or from other staff in the office, provide </w:t>
      </w:r>
      <w:r w:rsidR="00D046FC">
        <w:t>feedback to them (</w:t>
      </w:r>
      <w:r w:rsidRPr="00E80FB6">
        <w:t xml:space="preserve">used wrong lab, provided service not covered, billed too late, etc.) </w:t>
      </w:r>
    </w:p>
    <w:p w14:paraId="476F8317" w14:textId="3C2590E2" w:rsidR="004C14FC" w:rsidRPr="004C14FC" w:rsidRDefault="00F74E66" w:rsidP="00987A43">
      <w:pPr>
        <w:pStyle w:val="Bullet1"/>
      </w:pPr>
      <w:r>
        <w:t xml:space="preserve">Often </w:t>
      </w:r>
      <w:r w:rsidR="00A4186D" w:rsidRPr="00E80FB6">
        <w:t>claims will hav</w:t>
      </w:r>
      <w:r w:rsidR="001C126C">
        <w:t xml:space="preserve">e more than one denial reason. </w:t>
      </w:r>
      <w:r w:rsidR="00A4186D" w:rsidRPr="00E80FB6">
        <w:t>A claim may require multiple corrections before it will be paid.</w:t>
      </w:r>
      <w:r w:rsidR="00987A43">
        <w:t xml:space="preserve"> </w:t>
      </w:r>
      <w:r w:rsidR="004C14FC" w:rsidRPr="004C14FC">
        <w:t xml:space="preserve">Other </w:t>
      </w:r>
      <w:r w:rsidR="00E90B64" w:rsidRPr="004C14FC">
        <w:t>C</w:t>
      </w:r>
      <w:r w:rsidR="006B0A72" w:rsidRPr="004C14FC">
        <w:t>ommon denial reasons</w:t>
      </w:r>
      <w:r w:rsidR="00227DBD">
        <w:t xml:space="preserve"> include</w:t>
      </w:r>
      <w:r w:rsidR="006B0A72" w:rsidRPr="004C14FC">
        <w:t>:</w:t>
      </w:r>
    </w:p>
    <w:p w14:paraId="00CE0713" w14:textId="77777777" w:rsidR="004C14FC" w:rsidRDefault="00B2427A" w:rsidP="00CB5847">
      <w:pPr>
        <w:pStyle w:val="Bullet3"/>
      </w:pPr>
      <w:r w:rsidRPr="004C14FC">
        <w:t>Bundled/non-covered (ex: modifiers</w:t>
      </w:r>
      <w:r w:rsidR="002F0509" w:rsidRPr="004C14FC">
        <w:t>)</w:t>
      </w:r>
    </w:p>
    <w:p w14:paraId="5B72C709" w14:textId="77777777" w:rsidR="004C14FC" w:rsidRDefault="001C126C" w:rsidP="00CB5847">
      <w:pPr>
        <w:pStyle w:val="Bullet3"/>
      </w:pPr>
      <w:r w:rsidRPr="004C14FC">
        <w:t xml:space="preserve">Charge entry issues: </w:t>
      </w:r>
      <w:r w:rsidR="00B2427A" w:rsidRPr="004C14FC">
        <w:t>Invalid procedure or diagnosis code</w:t>
      </w:r>
    </w:p>
    <w:p w14:paraId="5B1BB11F" w14:textId="77777777" w:rsidR="004C14FC" w:rsidRDefault="00B2427A" w:rsidP="00CB5847">
      <w:pPr>
        <w:pStyle w:val="Bullet3"/>
      </w:pPr>
      <w:r w:rsidRPr="004C14FC">
        <w:t>Duplicate (2</w:t>
      </w:r>
      <w:r w:rsidRPr="004C14FC">
        <w:rPr>
          <w:vertAlign w:val="superscript"/>
        </w:rPr>
        <w:t>nd</w:t>
      </w:r>
      <w:r w:rsidRPr="004C14FC">
        <w:t xml:space="preserve"> CPT on same date</w:t>
      </w:r>
      <w:r w:rsidR="00675F31" w:rsidRPr="004C14FC">
        <w:t>)</w:t>
      </w:r>
    </w:p>
    <w:p w14:paraId="72FF4776" w14:textId="77777777" w:rsidR="004C14FC" w:rsidRPr="00CB5847" w:rsidRDefault="003F1C3F" w:rsidP="00CB5847">
      <w:pPr>
        <w:pStyle w:val="Bullet3"/>
      </w:pPr>
      <w:r w:rsidRPr="00CB5847">
        <w:t>Past filing limits submission of claims</w:t>
      </w:r>
    </w:p>
    <w:p w14:paraId="6222F202" w14:textId="46655F18" w:rsidR="003D21C6" w:rsidRPr="00987A43" w:rsidRDefault="00432024" w:rsidP="005B7E01">
      <w:pPr>
        <w:pStyle w:val="Bullet3"/>
        <w:numPr>
          <w:ilvl w:val="1"/>
          <w:numId w:val="15"/>
        </w:numPr>
        <w:rPr>
          <w:i/>
        </w:rPr>
      </w:pPr>
      <w:r w:rsidRPr="00987A43">
        <w:rPr>
          <w:i/>
        </w:rPr>
        <w:t xml:space="preserve">TIP: Customize your own </w:t>
      </w:r>
      <w:r w:rsidRPr="00987A43">
        <w:rPr>
          <w:b/>
          <w:i/>
          <w:color w:val="008C3E"/>
        </w:rPr>
        <w:t>Common Denial list</w:t>
      </w:r>
      <w:r w:rsidRPr="00987A43">
        <w:rPr>
          <w:i/>
          <w:color w:val="008C3E"/>
        </w:rPr>
        <w:t xml:space="preserve"> </w:t>
      </w:r>
      <w:r w:rsidRPr="00987A43">
        <w:rPr>
          <w:i/>
        </w:rPr>
        <w:t>and measure progress/assess trends on a monthly basis.</w:t>
      </w:r>
    </w:p>
    <w:sectPr w:rsidR="003D21C6" w:rsidRPr="00987A43" w:rsidSect="000B73D1">
      <w:headerReference w:type="default" r:id="rId12"/>
      <w:footerReference w:type="default" r:id="rId13"/>
      <w:pgSz w:w="12240" w:h="15840"/>
      <w:pgMar w:top="1170" w:right="1260" w:bottom="1350" w:left="1260" w:header="720" w:footer="43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A1550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5931F8" w14:textId="77777777" w:rsidR="00023F13" w:rsidRDefault="00023F13" w:rsidP="00E615F6">
      <w:r>
        <w:separator/>
      </w:r>
    </w:p>
  </w:endnote>
  <w:endnote w:type="continuationSeparator" w:id="0">
    <w:p w14:paraId="795E2E5B" w14:textId="77777777" w:rsidR="00023F13" w:rsidRDefault="00023F13" w:rsidP="00E61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2D06E" w14:textId="7A16BFEE" w:rsidR="00A51B51" w:rsidRPr="00FE254A" w:rsidRDefault="00A51B51" w:rsidP="00E615F6">
    <w:pPr>
      <w:pStyle w:val="Footer"/>
      <w:rPr>
        <w:sz w:val="20"/>
      </w:rPr>
    </w:pPr>
    <w:r w:rsidRPr="00FE254A">
      <w:rPr>
        <w:rStyle w:val="A10"/>
        <w:szCs w:val="12"/>
      </w:rPr>
      <w:t xml:space="preserve">Funding for this resource was made possible by the Office of Population Affairs (Grant FPTPA006023-04-00). </w:t>
    </w:r>
    <w:r w:rsidRPr="00FE254A">
      <w:rPr>
        <w:rStyle w:val="A10"/>
        <w:szCs w:val="12"/>
      </w:rPr>
      <w:br/>
      <w:t>The views expressed in written materials or publications do not necessarily reflect the official policies of the Department of Health and Human Services, nor does mention of trade names, commercial practices, or organizations imply endorsement by the U.S. Government.</w:t>
    </w:r>
  </w:p>
  <w:p w14:paraId="4C6E3516" w14:textId="117CC177" w:rsidR="00A51B51" w:rsidRDefault="00A51B51" w:rsidP="00E615F6">
    <w:pPr>
      <w:pStyle w:val="Footer"/>
    </w:pPr>
  </w:p>
  <w:p w14:paraId="00F485E9" w14:textId="77777777" w:rsidR="00A51B51" w:rsidRDefault="00A51B51" w:rsidP="00E615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953D1F" w14:textId="77777777" w:rsidR="00023F13" w:rsidRDefault="00023F13" w:rsidP="00E615F6">
      <w:r>
        <w:separator/>
      </w:r>
    </w:p>
  </w:footnote>
  <w:footnote w:type="continuationSeparator" w:id="0">
    <w:p w14:paraId="600C7DB6" w14:textId="77777777" w:rsidR="00023F13" w:rsidRDefault="00023F13" w:rsidP="00E615F6">
      <w:r>
        <w:continuationSeparator/>
      </w:r>
    </w:p>
  </w:footnote>
  <w:footnote w:id="1">
    <w:p w14:paraId="3E3BD783" w14:textId="2FC3A639" w:rsidR="000D02E5" w:rsidRPr="000D02E5" w:rsidRDefault="000D02E5" w:rsidP="00E615F6">
      <w:pPr>
        <w:pStyle w:val="FootnoteText"/>
      </w:pPr>
      <w:r w:rsidRPr="000D02E5">
        <w:rPr>
          <w:rStyle w:val="FootnoteReference"/>
        </w:rPr>
        <w:footnoteRef/>
      </w:r>
      <w:r w:rsidR="00B42439">
        <w:t xml:space="preserve"> E</w:t>
      </w:r>
      <w:r w:rsidRPr="000D02E5">
        <w:t xml:space="preserve">xpected revenue is the negotiated third party payer contractual amounts for services. This amount would typically be less than the charge amount. </w:t>
      </w:r>
    </w:p>
  </w:footnote>
  <w:footnote w:id="2">
    <w:p w14:paraId="7E07C27B" w14:textId="4997C990" w:rsidR="0080554D" w:rsidRPr="0080554D" w:rsidRDefault="0080554D" w:rsidP="00E615F6">
      <w:pPr>
        <w:pStyle w:val="FootnoteText"/>
      </w:pPr>
      <w:r w:rsidRPr="0080554D">
        <w:rPr>
          <w:rStyle w:val="FootnoteReference"/>
        </w:rPr>
        <w:footnoteRef/>
      </w:r>
      <w:r w:rsidRPr="0080554D">
        <w:t xml:space="preserve"> To calculate expected revenue, deduct the difference between the charge and the contractual amount, called the contractual adjustment or write-off for each TPP.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9DA7C5" w14:textId="77777777" w:rsidR="00767BB7" w:rsidRDefault="00767BB7" w:rsidP="00E615F6">
    <w:pPr>
      <w:pStyle w:val="Header"/>
    </w:pPr>
    <w:r>
      <w:rPr>
        <w:noProof/>
      </w:rPr>
      <w:drawing>
        <wp:inline distT="0" distB="0" distL="0" distR="0" wp14:anchorId="6A1F2398" wp14:editId="739BC3D6">
          <wp:extent cx="1786856" cy="492379"/>
          <wp:effectExtent l="0" t="0" r="4445" b="3175"/>
          <wp:docPr id="4" name="Picture 4" descr="FPNTC Full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NTC Full Colo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413" cy="493635"/>
                  </a:xfrm>
                  <a:prstGeom prst="rect">
                    <a:avLst/>
                  </a:prstGeom>
                  <a:noFill/>
                  <a:ln>
                    <a:noFill/>
                  </a:ln>
                </pic:spPr>
              </pic:pic>
            </a:graphicData>
          </a:graphic>
        </wp:inline>
      </w:drawing>
    </w:r>
  </w:p>
  <w:p w14:paraId="493A2F58" w14:textId="77777777" w:rsidR="00767BB7" w:rsidRDefault="00767BB7" w:rsidP="00E615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B75CC"/>
    <w:multiLevelType w:val="hybridMultilevel"/>
    <w:tmpl w:val="A31CD5C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nsid w:val="207B58B0"/>
    <w:multiLevelType w:val="hybridMultilevel"/>
    <w:tmpl w:val="956CB716"/>
    <w:lvl w:ilvl="0" w:tplc="0409000D">
      <w:start w:val="1"/>
      <w:numFmt w:val="bullet"/>
      <w:lvlText w:val=""/>
      <w:lvlJc w:val="left"/>
      <w:pPr>
        <w:ind w:left="2265" w:hanging="360"/>
      </w:pPr>
      <w:rPr>
        <w:rFonts w:ascii="Wingdings" w:hAnsi="Wingdings" w:hint="default"/>
      </w:rPr>
    </w:lvl>
    <w:lvl w:ilvl="1" w:tplc="04090003" w:tentative="1">
      <w:start w:val="1"/>
      <w:numFmt w:val="bullet"/>
      <w:lvlText w:val="o"/>
      <w:lvlJc w:val="left"/>
      <w:pPr>
        <w:ind w:left="2985" w:hanging="360"/>
      </w:pPr>
      <w:rPr>
        <w:rFonts w:ascii="Courier New" w:hAnsi="Courier New" w:cs="Courier New" w:hint="default"/>
      </w:rPr>
    </w:lvl>
    <w:lvl w:ilvl="2" w:tplc="04090005" w:tentative="1">
      <w:start w:val="1"/>
      <w:numFmt w:val="bullet"/>
      <w:lvlText w:val=""/>
      <w:lvlJc w:val="left"/>
      <w:pPr>
        <w:ind w:left="3705" w:hanging="360"/>
      </w:pPr>
      <w:rPr>
        <w:rFonts w:ascii="Wingdings" w:hAnsi="Wingdings" w:hint="default"/>
      </w:rPr>
    </w:lvl>
    <w:lvl w:ilvl="3" w:tplc="04090001" w:tentative="1">
      <w:start w:val="1"/>
      <w:numFmt w:val="bullet"/>
      <w:lvlText w:val=""/>
      <w:lvlJc w:val="left"/>
      <w:pPr>
        <w:ind w:left="4425" w:hanging="360"/>
      </w:pPr>
      <w:rPr>
        <w:rFonts w:ascii="Symbol" w:hAnsi="Symbol" w:hint="default"/>
      </w:rPr>
    </w:lvl>
    <w:lvl w:ilvl="4" w:tplc="04090003" w:tentative="1">
      <w:start w:val="1"/>
      <w:numFmt w:val="bullet"/>
      <w:lvlText w:val="o"/>
      <w:lvlJc w:val="left"/>
      <w:pPr>
        <w:ind w:left="5145" w:hanging="360"/>
      </w:pPr>
      <w:rPr>
        <w:rFonts w:ascii="Courier New" w:hAnsi="Courier New" w:cs="Courier New" w:hint="default"/>
      </w:rPr>
    </w:lvl>
    <w:lvl w:ilvl="5" w:tplc="04090005" w:tentative="1">
      <w:start w:val="1"/>
      <w:numFmt w:val="bullet"/>
      <w:lvlText w:val=""/>
      <w:lvlJc w:val="left"/>
      <w:pPr>
        <w:ind w:left="5865" w:hanging="360"/>
      </w:pPr>
      <w:rPr>
        <w:rFonts w:ascii="Wingdings" w:hAnsi="Wingdings" w:hint="default"/>
      </w:rPr>
    </w:lvl>
    <w:lvl w:ilvl="6" w:tplc="04090001" w:tentative="1">
      <w:start w:val="1"/>
      <w:numFmt w:val="bullet"/>
      <w:lvlText w:val=""/>
      <w:lvlJc w:val="left"/>
      <w:pPr>
        <w:ind w:left="6585" w:hanging="360"/>
      </w:pPr>
      <w:rPr>
        <w:rFonts w:ascii="Symbol" w:hAnsi="Symbol" w:hint="default"/>
      </w:rPr>
    </w:lvl>
    <w:lvl w:ilvl="7" w:tplc="04090003" w:tentative="1">
      <w:start w:val="1"/>
      <w:numFmt w:val="bullet"/>
      <w:lvlText w:val="o"/>
      <w:lvlJc w:val="left"/>
      <w:pPr>
        <w:ind w:left="7305" w:hanging="360"/>
      </w:pPr>
      <w:rPr>
        <w:rFonts w:ascii="Courier New" w:hAnsi="Courier New" w:cs="Courier New" w:hint="default"/>
      </w:rPr>
    </w:lvl>
    <w:lvl w:ilvl="8" w:tplc="04090005" w:tentative="1">
      <w:start w:val="1"/>
      <w:numFmt w:val="bullet"/>
      <w:lvlText w:val=""/>
      <w:lvlJc w:val="left"/>
      <w:pPr>
        <w:ind w:left="8025" w:hanging="360"/>
      </w:pPr>
      <w:rPr>
        <w:rFonts w:ascii="Wingdings" w:hAnsi="Wingdings" w:hint="default"/>
      </w:rPr>
    </w:lvl>
  </w:abstractNum>
  <w:abstractNum w:abstractNumId="2">
    <w:nsid w:val="28005060"/>
    <w:multiLevelType w:val="hybridMultilevel"/>
    <w:tmpl w:val="272049AC"/>
    <w:lvl w:ilvl="0" w:tplc="D7B2766E">
      <w:start w:val="1"/>
      <w:numFmt w:val="bullet"/>
      <w:pStyle w:val="Bullet1"/>
      <w:lvlText w:val=""/>
      <w:lvlJc w:val="left"/>
      <w:pPr>
        <w:ind w:left="360" w:hanging="360"/>
      </w:pPr>
      <w:rPr>
        <w:rFonts w:ascii="Symbol" w:hAnsi="Symbol" w:hint="default"/>
      </w:rPr>
    </w:lvl>
    <w:lvl w:ilvl="1" w:tplc="D5CC950E">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3">
    <w:nsid w:val="2EAB11A0"/>
    <w:multiLevelType w:val="hybridMultilevel"/>
    <w:tmpl w:val="CC848BE0"/>
    <w:lvl w:ilvl="0" w:tplc="04090001">
      <w:start w:val="1"/>
      <w:numFmt w:val="bullet"/>
      <w:lvlText w:val=""/>
      <w:lvlJc w:val="left"/>
      <w:pPr>
        <w:ind w:left="360" w:hanging="360"/>
      </w:pPr>
      <w:rPr>
        <w:rFonts w:ascii="Symbol" w:hAnsi="Symbol" w:hint="default"/>
      </w:rPr>
    </w:lvl>
    <w:lvl w:ilvl="1" w:tplc="B22EFC12">
      <w:start w:val="1"/>
      <w:numFmt w:val="bullet"/>
      <w:pStyle w:val="Bullet2"/>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1426D50"/>
    <w:multiLevelType w:val="hybridMultilevel"/>
    <w:tmpl w:val="E1B475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38413C5"/>
    <w:multiLevelType w:val="hybridMultilevel"/>
    <w:tmpl w:val="DE40C29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344464B1"/>
    <w:multiLevelType w:val="hybridMultilevel"/>
    <w:tmpl w:val="739CB1BC"/>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37031B5D"/>
    <w:multiLevelType w:val="hybridMultilevel"/>
    <w:tmpl w:val="A5565368"/>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3A0F1C60"/>
    <w:multiLevelType w:val="hybridMultilevel"/>
    <w:tmpl w:val="954E3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E557A7"/>
    <w:multiLevelType w:val="hybridMultilevel"/>
    <w:tmpl w:val="D05ABE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8272B560">
      <w:start w:val="1"/>
      <w:numFmt w:val="bullet"/>
      <w:pStyle w:val="Bullet3"/>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9FE6B4F"/>
    <w:multiLevelType w:val="hybridMultilevel"/>
    <w:tmpl w:val="67A20EBA"/>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4E4B6602"/>
    <w:multiLevelType w:val="hybridMultilevel"/>
    <w:tmpl w:val="42B8E03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nsid w:val="4EB24E84"/>
    <w:multiLevelType w:val="hybridMultilevel"/>
    <w:tmpl w:val="AD808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01B5C8B"/>
    <w:multiLevelType w:val="hybridMultilevel"/>
    <w:tmpl w:val="F7AC26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0C56B1E"/>
    <w:multiLevelType w:val="hybridMultilevel"/>
    <w:tmpl w:val="E94245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5723D03"/>
    <w:multiLevelType w:val="hybridMultilevel"/>
    <w:tmpl w:val="CEA2C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FA19E6"/>
    <w:multiLevelType w:val="hybridMultilevel"/>
    <w:tmpl w:val="6E5420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5CE5865"/>
    <w:multiLevelType w:val="hybridMultilevel"/>
    <w:tmpl w:val="A8D8E0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66592BF9"/>
    <w:multiLevelType w:val="hybridMultilevel"/>
    <w:tmpl w:val="DA966E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A5A430A"/>
    <w:multiLevelType w:val="hybridMultilevel"/>
    <w:tmpl w:val="3EDCF204"/>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6A6B643A"/>
    <w:multiLevelType w:val="hybridMultilevel"/>
    <w:tmpl w:val="8B888CF0"/>
    <w:lvl w:ilvl="0" w:tplc="0409000F">
      <w:start w:val="1"/>
      <w:numFmt w:val="decimal"/>
      <w:lvlText w:val="%1."/>
      <w:lvlJc w:val="left"/>
      <w:pPr>
        <w:ind w:left="2985" w:hanging="360"/>
      </w:pPr>
    </w:lvl>
    <w:lvl w:ilvl="1" w:tplc="04090019" w:tentative="1">
      <w:start w:val="1"/>
      <w:numFmt w:val="lowerLetter"/>
      <w:lvlText w:val="%2."/>
      <w:lvlJc w:val="left"/>
      <w:pPr>
        <w:ind w:left="3705" w:hanging="360"/>
      </w:pPr>
    </w:lvl>
    <w:lvl w:ilvl="2" w:tplc="0409001B" w:tentative="1">
      <w:start w:val="1"/>
      <w:numFmt w:val="lowerRoman"/>
      <w:lvlText w:val="%3."/>
      <w:lvlJc w:val="right"/>
      <w:pPr>
        <w:ind w:left="4425" w:hanging="180"/>
      </w:pPr>
    </w:lvl>
    <w:lvl w:ilvl="3" w:tplc="0409000F" w:tentative="1">
      <w:start w:val="1"/>
      <w:numFmt w:val="decimal"/>
      <w:lvlText w:val="%4."/>
      <w:lvlJc w:val="left"/>
      <w:pPr>
        <w:ind w:left="5145" w:hanging="360"/>
      </w:pPr>
    </w:lvl>
    <w:lvl w:ilvl="4" w:tplc="04090019" w:tentative="1">
      <w:start w:val="1"/>
      <w:numFmt w:val="lowerLetter"/>
      <w:lvlText w:val="%5."/>
      <w:lvlJc w:val="left"/>
      <w:pPr>
        <w:ind w:left="5865" w:hanging="360"/>
      </w:pPr>
    </w:lvl>
    <w:lvl w:ilvl="5" w:tplc="0409001B" w:tentative="1">
      <w:start w:val="1"/>
      <w:numFmt w:val="lowerRoman"/>
      <w:lvlText w:val="%6."/>
      <w:lvlJc w:val="right"/>
      <w:pPr>
        <w:ind w:left="6585" w:hanging="180"/>
      </w:pPr>
    </w:lvl>
    <w:lvl w:ilvl="6" w:tplc="0409000F" w:tentative="1">
      <w:start w:val="1"/>
      <w:numFmt w:val="decimal"/>
      <w:lvlText w:val="%7."/>
      <w:lvlJc w:val="left"/>
      <w:pPr>
        <w:ind w:left="7305" w:hanging="360"/>
      </w:pPr>
    </w:lvl>
    <w:lvl w:ilvl="7" w:tplc="04090019" w:tentative="1">
      <w:start w:val="1"/>
      <w:numFmt w:val="lowerLetter"/>
      <w:lvlText w:val="%8."/>
      <w:lvlJc w:val="left"/>
      <w:pPr>
        <w:ind w:left="8025" w:hanging="360"/>
      </w:pPr>
    </w:lvl>
    <w:lvl w:ilvl="8" w:tplc="0409001B" w:tentative="1">
      <w:start w:val="1"/>
      <w:numFmt w:val="lowerRoman"/>
      <w:lvlText w:val="%9."/>
      <w:lvlJc w:val="right"/>
      <w:pPr>
        <w:ind w:left="8745" w:hanging="180"/>
      </w:pPr>
    </w:lvl>
  </w:abstractNum>
  <w:abstractNum w:abstractNumId="21">
    <w:nsid w:val="6BE57A4A"/>
    <w:multiLevelType w:val="hybridMultilevel"/>
    <w:tmpl w:val="95BE3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0"/>
  </w:num>
  <w:num w:numId="5">
    <w:abstractNumId w:val="6"/>
  </w:num>
  <w:num w:numId="6">
    <w:abstractNumId w:val="19"/>
  </w:num>
  <w:num w:numId="7">
    <w:abstractNumId w:val="1"/>
  </w:num>
  <w:num w:numId="8">
    <w:abstractNumId w:val="20"/>
  </w:num>
  <w:num w:numId="9">
    <w:abstractNumId w:val="18"/>
  </w:num>
  <w:num w:numId="10">
    <w:abstractNumId w:val="5"/>
  </w:num>
  <w:num w:numId="11">
    <w:abstractNumId w:val="8"/>
  </w:num>
  <w:num w:numId="12">
    <w:abstractNumId w:val="17"/>
  </w:num>
  <w:num w:numId="13">
    <w:abstractNumId w:val="7"/>
  </w:num>
  <w:num w:numId="14">
    <w:abstractNumId w:val="11"/>
  </w:num>
  <w:num w:numId="15">
    <w:abstractNumId w:val="9"/>
  </w:num>
  <w:num w:numId="16">
    <w:abstractNumId w:val="21"/>
  </w:num>
  <w:num w:numId="17">
    <w:abstractNumId w:val="4"/>
  </w:num>
  <w:num w:numId="18">
    <w:abstractNumId w:val="15"/>
  </w:num>
  <w:num w:numId="19">
    <w:abstractNumId w:val="14"/>
  </w:num>
  <w:num w:numId="20">
    <w:abstractNumId w:val="3"/>
  </w:num>
  <w:num w:numId="21">
    <w:abstractNumId w:val="12"/>
  </w:num>
  <w:num w:numId="22">
    <w:abstractNumId w:val="13"/>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215"/>
    <w:rsid w:val="00001D00"/>
    <w:rsid w:val="0000445C"/>
    <w:rsid w:val="0000731A"/>
    <w:rsid w:val="000108C2"/>
    <w:rsid w:val="0001757B"/>
    <w:rsid w:val="00023F13"/>
    <w:rsid w:val="0003529A"/>
    <w:rsid w:val="000420D9"/>
    <w:rsid w:val="00046556"/>
    <w:rsid w:val="000846A3"/>
    <w:rsid w:val="000B4866"/>
    <w:rsid w:val="000B73D1"/>
    <w:rsid w:val="000D02E5"/>
    <w:rsid w:val="00167ED8"/>
    <w:rsid w:val="00187160"/>
    <w:rsid w:val="0019309A"/>
    <w:rsid w:val="0019403D"/>
    <w:rsid w:val="001A5272"/>
    <w:rsid w:val="001B66B0"/>
    <w:rsid w:val="001B7482"/>
    <w:rsid w:val="001C126C"/>
    <w:rsid w:val="001C294D"/>
    <w:rsid w:val="001D2B19"/>
    <w:rsid w:val="002047F2"/>
    <w:rsid w:val="00206594"/>
    <w:rsid w:val="00210515"/>
    <w:rsid w:val="00220217"/>
    <w:rsid w:val="00227DBD"/>
    <w:rsid w:val="0024178B"/>
    <w:rsid w:val="00251E6B"/>
    <w:rsid w:val="00257D59"/>
    <w:rsid w:val="00262A37"/>
    <w:rsid w:val="00295ABB"/>
    <w:rsid w:val="002C5205"/>
    <w:rsid w:val="002D5FDD"/>
    <w:rsid w:val="002E6FBB"/>
    <w:rsid w:val="002F0509"/>
    <w:rsid w:val="002F10FF"/>
    <w:rsid w:val="002F3AD5"/>
    <w:rsid w:val="0031204D"/>
    <w:rsid w:val="003305A1"/>
    <w:rsid w:val="003364A1"/>
    <w:rsid w:val="00352053"/>
    <w:rsid w:val="00367E98"/>
    <w:rsid w:val="00380BF0"/>
    <w:rsid w:val="003A192F"/>
    <w:rsid w:val="003C1170"/>
    <w:rsid w:val="003D21C6"/>
    <w:rsid w:val="003F1C3F"/>
    <w:rsid w:val="00402816"/>
    <w:rsid w:val="00402DDE"/>
    <w:rsid w:val="00411436"/>
    <w:rsid w:val="00430C00"/>
    <w:rsid w:val="00432024"/>
    <w:rsid w:val="00434E61"/>
    <w:rsid w:val="00453B38"/>
    <w:rsid w:val="00457C58"/>
    <w:rsid w:val="004B2064"/>
    <w:rsid w:val="004C14FC"/>
    <w:rsid w:val="004C7544"/>
    <w:rsid w:val="004D215F"/>
    <w:rsid w:val="004D57B1"/>
    <w:rsid w:val="004D5DA4"/>
    <w:rsid w:val="004E6A68"/>
    <w:rsid w:val="004F2BBE"/>
    <w:rsid w:val="004F4215"/>
    <w:rsid w:val="00511945"/>
    <w:rsid w:val="00531CED"/>
    <w:rsid w:val="00550E7D"/>
    <w:rsid w:val="0056621D"/>
    <w:rsid w:val="005B6DDD"/>
    <w:rsid w:val="005B7E01"/>
    <w:rsid w:val="005E3367"/>
    <w:rsid w:val="005F125B"/>
    <w:rsid w:val="00603922"/>
    <w:rsid w:val="00605BD4"/>
    <w:rsid w:val="00611C6B"/>
    <w:rsid w:val="00621CC7"/>
    <w:rsid w:val="00644871"/>
    <w:rsid w:val="006575F4"/>
    <w:rsid w:val="00675F31"/>
    <w:rsid w:val="006915D2"/>
    <w:rsid w:val="006A3298"/>
    <w:rsid w:val="006A7EB4"/>
    <w:rsid w:val="006B0A72"/>
    <w:rsid w:val="006C2EBA"/>
    <w:rsid w:val="006D115A"/>
    <w:rsid w:val="006D1F58"/>
    <w:rsid w:val="006E59E5"/>
    <w:rsid w:val="006E5B8E"/>
    <w:rsid w:val="007031DA"/>
    <w:rsid w:val="00706D5B"/>
    <w:rsid w:val="00707D7C"/>
    <w:rsid w:val="00735D96"/>
    <w:rsid w:val="00742D96"/>
    <w:rsid w:val="00767BB7"/>
    <w:rsid w:val="00767FCC"/>
    <w:rsid w:val="00774D13"/>
    <w:rsid w:val="007C3F2C"/>
    <w:rsid w:val="007F4A4F"/>
    <w:rsid w:val="008038A1"/>
    <w:rsid w:val="0080421D"/>
    <w:rsid w:val="0080554D"/>
    <w:rsid w:val="0081143F"/>
    <w:rsid w:val="00831487"/>
    <w:rsid w:val="008346F5"/>
    <w:rsid w:val="008540B1"/>
    <w:rsid w:val="0085536E"/>
    <w:rsid w:val="008578A2"/>
    <w:rsid w:val="00866CCE"/>
    <w:rsid w:val="00882B94"/>
    <w:rsid w:val="008939CF"/>
    <w:rsid w:val="008A2E77"/>
    <w:rsid w:val="008A5024"/>
    <w:rsid w:val="008C0430"/>
    <w:rsid w:val="008E5527"/>
    <w:rsid w:val="009100FE"/>
    <w:rsid w:val="00923D0C"/>
    <w:rsid w:val="00930A42"/>
    <w:rsid w:val="009754B4"/>
    <w:rsid w:val="00975688"/>
    <w:rsid w:val="00987A43"/>
    <w:rsid w:val="00994D12"/>
    <w:rsid w:val="009A2CE3"/>
    <w:rsid w:val="009A5D5D"/>
    <w:rsid w:val="009B500F"/>
    <w:rsid w:val="009D06A4"/>
    <w:rsid w:val="009E09C9"/>
    <w:rsid w:val="00A021E6"/>
    <w:rsid w:val="00A13F92"/>
    <w:rsid w:val="00A16467"/>
    <w:rsid w:val="00A26241"/>
    <w:rsid w:val="00A35742"/>
    <w:rsid w:val="00A4186D"/>
    <w:rsid w:val="00A500FC"/>
    <w:rsid w:val="00A51B51"/>
    <w:rsid w:val="00A9226F"/>
    <w:rsid w:val="00AC3879"/>
    <w:rsid w:val="00AD3317"/>
    <w:rsid w:val="00AE19E9"/>
    <w:rsid w:val="00B005E5"/>
    <w:rsid w:val="00B0474A"/>
    <w:rsid w:val="00B2427A"/>
    <w:rsid w:val="00B24C47"/>
    <w:rsid w:val="00B32AF3"/>
    <w:rsid w:val="00B411FE"/>
    <w:rsid w:val="00B42439"/>
    <w:rsid w:val="00B62D59"/>
    <w:rsid w:val="00B63A55"/>
    <w:rsid w:val="00B66632"/>
    <w:rsid w:val="00B678E9"/>
    <w:rsid w:val="00B842CE"/>
    <w:rsid w:val="00B87118"/>
    <w:rsid w:val="00BD4D2F"/>
    <w:rsid w:val="00BD5F73"/>
    <w:rsid w:val="00BE4E70"/>
    <w:rsid w:val="00BE7CF0"/>
    <w:rsid w:val="00C05082"/>
    <w:rsid w:val="00C318ED"/>
    <w:rsid w:val="00C31C22"/>
    <w:rsid w:val="00C447CA"/>
    <w:rsid w:val="00C45299"/>
    <w:rsid w:val="00C55119"/>
    <w:rsid w:val="00CB0019"/>
    <w:rsid w:val="00CB5847"/>
    <w:rsid w:val="00CC1ED6"/>
    <w:rsid w:val="00CC7613"/>
    <w:rsid w:val="00CF553D"/>
    <w:rsid w:val="00D046FC"/>
    <w:rsid w:val="00D05F54"/>
    <w:rsid w:val="00D1644A"/>
    <w:rsid w:val="00D22AB3"/>
    <w:rsid w:val="00D27C0E"/>
    <w:rsid w:val="00D51418"/>
    <w:rsid w:val="00D77EF6"/>
    <w:rsid w:val="00D94311"/>
    <w:rsid w:val="00DB7556"/>
    <w:rsid w:val="00DD4C9C"/>
    <w:rsid w:val="00DD7C80"/>
    <w:rsid w:val="00DE2487"/>
    <w:rsid w:val="00E16DB6"/>
    <w:rsid w:val="00E31B2B"/>
    <w:rsid w:val="00E31B48"/>
    <w:rsid w:val="00E34C4F"/>
    <w:rsid w:val="00E50C9E"/>
    <w:rsid w:val="00E615F6"/>
    <w:rsid w:val="00E7786A"/>
    <w:rsid w:val="00E80FB6"/>
    <w:rsid w:val="00E90B64"/>
    <w:rsid w:val="00E973B3"/>
    <w:rsid w:val="00EA524C"/>
    <w:rsid w:val="00EB5E50"/>
    <w:rsid w:val="00EC362E"/>
    <w:rsid w:val="00EE4B31"/>
    <w:rsid w:val="00EE4C3B"/>
    <w:rsid w:val="00F036DE"/>
    <w:rsid w:val="00F0451A"/>
    <w:rsid w:val="00F10D42"/>
    <w:rsid w:val="00F1313A"/>
    <w:rsid w:val="00F17A92"/>
    <w:rsid w:val="00F24E4B"/>
    <w:rsid w:val="00F25F8F"/>
    <w:rsid w:val="00F300A8"/>
    <w:rsid w:val="00F61A6A"/>
    <w:rsid w:val="00F62384"/>
    <w:rsid w:val="00F74E66"/>
    <w:rsid w:val="00F80459"/>
    <w:rsid w:val="00F97007"/>
    <w:rsid w:val="00FA5B2F"/>
    <w:rsid w:val="00FD4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F09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5F6"/>
    <w:pPr>
      <w:spacing w:after="120" w:line="240" w:lineRule="auto"/>
    </w:pPr>
    <w:rPr>
      <w:rFonts w:ascii="Gill Sans MT" w:hAnsi="Gill Sans MT"/>
    </w:rPr>
  </w:style>
  <w:style w:type="paragraph" w:styleId="Heading1">
    <w:name w:val="heading 1"/>
    <w:basedOn w:val="Normal"/>
    <w:next w:val="Normal"/>
    <w:link w:val="Heading1Char"/>
    <w:uiPriority w:val="9"/>
    <w:qFormat/>
    <w:rsid w:val="00D05F54"/>
    <w:pPr>
      <w:spacing w:after="0" w:line="257" w:lineRule="auto"/>
      <w:outlineLvl w:val="0"/>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F4215"/>
    <w:pPr>
      <w:ind w:left="720"/>
      <w:contextualSpacing/>
    </w:pPr>
  </w:style>
  <w:style w:type="paragraph" w:styleId="BalloonText">
    <w:name w:val="Balloon Text"/>
    <w:basedOn w:val="Normal"/>
    <w:link w:val="BalloonTextChar"/>
    <w:uiPriority w:val="99"/>
    <w:semiHidden/>
    <w:unhideWhenUsed/>
    <w:rsid w:val="006E59E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9E5"/>
    <w:rPr>
      <w:rFonts w:ascii="Segoe UI" w:hAnsi="Segoe UI" w:cs="Segoe UI"/>
      <w:sz w:val="18"/>
      <w:szCs w:val="18"/>
    </w:rPr>
  </w:style>
  <w:style w:type="paragraph" w:styleId="Header">
    <w:name w:val="header"/>
    <w:basedOn w:val="Normal"/>
    <w:link w:val="HeaderChar"/>
    <w:uiPriority w:val="99"/>
    <w:unhideWhenUsed/>
    <w:rsid w:val="00D1644A"/>
    <w:pPr>
      <w:tabs>
        <w:tab w:val="center" w:pos="4680"/>
        <w:tab w:val="right" w:pos="9360"/>
      </w:tabs>
      <w:spacing w:after="0"/>
    </w:pPr>
  </w:style>
  <w:style w:type="character" w:customStyle="1" w:styleId="HeaderChar">
    <w:name w:val="Header Char"/>
    <w:basedOn w:val="DefaultParagraphFont"/>
    <w:link w:val="Header"/>
    <w:uiPriority w:val="99"/>
    <w:rsid w:val="00D1644A"/>
  </w:style>
  <w:style w:type="paragraph" w:styleId="Footer">
    <w:name w:val="footer"/>
    <w:basedOn w:val="Normal"/>
    <w:link w:val="FooterChar"/>
    <w:uiPriority w:val="99"/>
    <w:unhideWhenUsed/>
    <w:rsid w:val="00D1644A"/>
    <w:pPr>
      <w:tabs>
        <w:tab w:val="center" w:pos="4680"/>
        <w:tab w:val="right" w:pos="9360"/>
      </w:tabs>
      <w:spacing w:after="0"/>
    </w:pPr>
  </w:style>
  <w:style w:type="character" w:customStyle="1" w:styleId="FooterChar">
    <w:name w:val="Footer Char"/>
    <w:basedOn w:val="DefaultParagraphFont"/>
    <w:link w:val="Footer"/>
    <w:uiPriority w:val="99"/>
    <w:rsid w:val="00D1644A"/>
  </w:style>
  <w:style w:type="character" w:styleId="CommentReference">
    <w:name w:val="annotation reference"/>
    <w:basedOn w:val="DefaultParagraphFont"/>
    <w:uiPriority w:val="99"/>
    <w:semiHidden/>
    <w:unhideWhenUsed/>
    <w:rsid w:val="00187160"/>
    <w:rPr>
      <w:sz w:val="16"/>
      <w:szCs w:val="16"/>
    </w:rPr>
  </w:style>
  <w:style w:type="paragraph" w:styleId="CommentText">
    <w:name w:val="annotation text"/>
    <w:basedOn w:val="Normal"/>
    <w:link w:val="CommentTextChar"/>
    <w:uiPriority w:val="99"/>
    <w:semiHidden/>
    <w:unhideWhenUsed/>
    <w:rsid w:val="00187160"/>
    <w:rPr>
      <w:sz w:val="20"/>
      <w:szCs w:val="20"/>
    </w:rPr>
  </w:style>
  <w:style w:type="character" w:customStyle="1" w:styleId="CommentTextChar">
    <w:name w:val="Comment Text Char"/>
    <w:basedOn w:val="DefaultParagraphFont"/>
    <w:link w:val="CommentText"/>
    <w:uiPriority w:val="99"/>
    <w:semiHidden/>
    <w:rsid w:val="00187160"/>
    <w:rPr>
      <w:sz w:val="20"/>
      <w:szCs w:val="20"/>
    </w:rPr>
  </w:style>
  <w:style w:type="paragraph" w:styleId="CommentSubject">
    <w:name w:val="annotation subject"/>
    <w:basedOn w:val="CommentText"/>
    <w:next w:val="CommentText"/>
    <w:link w:val="CommentSubjectChar"/>
    <w:uiPriority w:val="99"/>
    <w:semiHidden/>
    <w:unhideWhenUsed/>
    <w:rsid w:val="00187160"/>
    <w:rPr>
      <w:b/>
      <w:bCs/>
    </w:rPr>
  </w:style>
  <w:style w:type="character" w:customStyle="1" w:styleId="CommentSubjectChar">
    <w:name w:val="Comment Subject Char"/>
    <w:basedOn w:val="CommentTextChar"/>
    <w:link w:val="CommentSubject"/>
    <w:uiPriority w:val="99"/>
    <w:semiHidden/>
    <w:rsid w:val="00187160"/>
    <w:rPr>
      <w:b/>
      <w:bCs/>
      <w:sz w:val="20"/>
      <w:szCs w:val="20"/>
    </w:rPr>
  </w:style>
  <w:style w:type="character" w:styleId="Hyperlink">
    <w:name w:val="Hyperlink"/>
    <w:basedOn w:val="DefaultParagraphFont"/>
    <w:uiPriority w:val="99"/>
    <w:unhideWhenUsed/>
    <w:rsid w:val="00210515"/>
    <w:rPr>
      <w:color w:val="0563C1" w:themeColor="hyperlink"/>
      <w:u w:val="single"/>
    </w:rPr>
  </w:style>
  <w:style w:type="character" w:customStyle="1" w:styleId="A10">
    <w:name w:val="A10"/>
    <w:uiPriority w:val="99"/>
    <w:rsid w:val="00A51B51"/>
    <w:rPr>
      <w:rFonts w:cs="Verdana"/>
      <w:color w:val="221E1F"/>
      <w:sz w:val="16"/>
      <w:szCs w:val="16"/>
    </w:rPr>
  </w:style>
  <w:style w:type="paragraph" w:styleId="FootnoteText">
    <w:name w:val="footnote text"/>
    <w:basedOn w:val="Normal"/>
    <w:link w:val="FootnoteTextChar"/>
    <w:uiPriority w:val="99"/>
    <w:unhideWhenUsed/>
    <w:rsid w:val="000D02E5"/>
    <w:pPr>
      <w:spacing w:after="0"/>
    </w:pPr>
    <w:rPr>
      <w:sz w:val="20"/>
      <w:szCs w:val="20"/>
    </w:rPr>
  </w:style>
  <w:style w:type="character" w:customStyle="1" w:styleId="FootnoteTextChar">
    <w:name w:val="Footnote Text Char"/>
    <w:basedOn w:val="DefaultParagraphFont"/>
    <w:link w:val="FootnoteText"/>
    <w:uiPriority w:val="99"/>
    <w:rsid w:val="000D02E5"/>
    <w:rPr>
      <w:sz w:val="20"/>
      <w:szCs w:val="20"/>
    </w:rPr>
  </w:style>
  <w:style w:type="character" w:styleId="FootnoteReference">
    <w:name w:val="footnote reference"/>
    <w:basedOn w:val="DefaultParagraphFont"/>
    <w:uiPriority w:val="99"/>
    <w:semiHidden/>
    <w:unhideWhenUsed/>
    <w:rsid w:val="000D02E5"/>
    <w:rPr>
      <w:vertAlign w:val="superscript"/>
    </w:rPr>
  </w:style>
  <w:style w:type="paragraph" w:styleId="Title">
    <w:name w:val="Title"/>
    <w:basedOn w:val="Normal"/>
    <w:next w:val="Normal"/>
    <w:link w:val="TitleChar"/>
    <w:uiPriority w:val="10"/>
    <w:qFormat/>
    <w:rsid w:val="00E615F6"/>
    <w:pPr>
      <w:spacing w:after="0"/>
      <w:jc w:val="center"/>
    </w:pPr>
    <w:rPr>
      <w:noProof/>
      <w:color w:val="002060"/>
      <w:sz w:val="40"/>
    </w:rPr>
  </w:style>
  <w:style w:type="character" w:customStyle="1" w:styleId="TitleChar">
    <w:name w:val="Title Char"/>
    <w:basedOn w:val="DefaultParagraphFont"/>
    <w:link w:val="Title"/>
    <w:uiPriority w:val="10"/>
    <w:rsid w:val="00E615F6"/>
    <w:rPr>
      <w:rFonts w:ascii="Gill Sans MT" w:hAnsi="Gill Sans MT"/>
      <w:noProof/>
      <w:color w:val="002060"/>
      <w:sz w:val="40"/>
    </w:rPr>
  </w:style>
  <w:style w:type="character" w:customStyle="1" w:styleId="Heading1Char">
    <w:name w:val="Heading 1 Char"/>
    <w:basedOn w:val="DefaultParagraphFont"/>
    <w:link w:val="Heading1"/>
    <w:uiPriority w:val="9"/>
    <w:rsid w:val="00D05F54"/>
    <w:rPr>
      <w:rFonts w:ascii="Gill Sans MT" w:hAnsi="Gill Sans MT"/>
      <w:b/>
      <w:sz w:val="24"/>
      <w:szCs w:val="24"/>
    </w:rPr>
  </w:style>
  <w:style w:type="paragraph" w:styleId="NoSpacing">
    <w:name w:val="No Spacing"/>
    <w:basedOn w:val="Normal"/>
    <w:uiPriority w:val="1"/>
    <w:qFormat/>
    <w:rsid w:val="00D05F54"/>
    <w:pPr>
      <w:spacing w:after="0"/>
    </w:pPr>
  </w:style>
  <w:style w:type="paragraph" w:customStyle="1" w:styleId="Bullet1">
    <w:name w:val="Bullet 1"/>
    <w:basedOn w:val="ListParagraph"/>
    <w:link w:val="Bullet1Char"/>
    <w:qFormat/>
    <w:rsid w:val="00D05F54"/>
    <w:pPr>
      <w:numPr>
        <w:numId w:val="2"/>
      </w:numPr>
      <w:spacing w:after="0"/>
    </w:pPr>
  </w:style>
  <w:style w:type="paragraph" w:customStyle="1" w:styleId="Bullet2">
    <w:name w:val="Bullet 2"/>
    <w:basedOn w:val="ListParagraph"/>
    <w:link w:val="Bullet2Char"/>
    <w:qFormat/>
    <w:rsid w:val="00CB5847"/>
    <w:pPr>
      <w:numPr>
        <w:ilvl w:val="1"/>
        <w:numId w:val="20"/>
      </w:numPr>
      <w:spacing w:after="0"/>
    </w:pPr>
  </w:style>
  <w:style w:type="character" w:customStyle="1" w:styleId="ListParagraphChar">
    <w:name w:val="List Paragraph Char"/>
    <w:basedOn w:val="DefaultParagraphFont"/>
    <w:link w:val="ListParagraph"/>
    <w:uiPriority w:val="34"/>
    <w:rsid w:val="00D05F54"/>
    <w:rPr>
      <w:rFonts w:ascii="Gill Sans MT" w:hAnsi="Gill Sans MT"/>
    </w:rPr>
  </w:style>
  <w:style w:type="character" w:customStyle="1" w:styleId="Bullet1Char">
    <w:name w:val="Bullet 1 Char"/>
    <w:basedOn w:val="ListParagraphChar"/>
    <w:link w:val="Bullet1"/>
    <w:rsid w:val="00D05F54"/>
    <w:rPr>
      <w:rFonts w:ascii="Gill Sans MT" w:hAnsi="Gill Sans MT"/>
    </w:rPr>
  </w:style>
  <w:style w:type="paragraph" w:customStyle="1" w:styleId="Bullet3">
    <w:name w:val="Bullet 3"/>
    <w:basedOn w:val="ListParagraph"/>
    <w:link w:val="Bullet3Char"/>
    <w:qFormat/>
    <w:rsid w:val="00CB5847"/>
    <w:pPr>
      <w:numPr>
        <w:ilvl w:val="2"/>
        <w:numId w:val="15"/>
      </w:numPr>
      <w:spacing w:after="0"/>
    </w:pPr>
  </w:style>
  <w:style w:type="character" w:customStyle="1" w:styleId="Bullet2Char">
    <w:name w:val="Bullet 2 Char"/>
    <w:basedOn w:val="ListParagraphChar"/>
    <w:link w:val="Bullet2"/>
    <w:rsid w:val="00CB5847"/>
    <w:rPr>
      <w:rFonts w:ascii="Gill Sans MT" w:hAnsi="Gill Sans MT"/>
    </w:rPr>
  </w:style>
  <w:style w:type="character" w:customStyle="1" w:styleId="Bullet3Char">
    <w:name w:val="Bullet 3 Char"/>
    <w:basedOn w:val="ListParagraphChar"/>
    <w:link w:val="Bullet3"/>
    <w:rsid w:val="00CB5847"/>
    <w:rPr>
      <w:rFonts w:ascii="Gill Sans MT" w:hAnsi="Gill Sans M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5F6"/>
    <w:pPr>
      <w:spacing w:after="120" w:line="240" w:lineRule="auto"/>
    </w:pPr>
    <w:rPr>
      <w:rFonts w:ascii="Gill Sans MT" w:hAnsi="Gill Sans MT"/>
    </w:rPr>
  </w:style>
  <w:style w:type="paragraph" w:styleId="Heading1">
    <w:name w:val="heading 1"/>
    <w:basedOn w:val="Normal"/>
    <w:next w:val="Normal"/>
    <w:link w:val="Heading1Char"/>
    <w:uiPriority w:val="9"/>
    <w:qFormat/>
    <w:rsid w:val="00D05F54"/>
    <w:pPr>
      <w:spacing w:after="0" w:line="257" w:lineRule="auto"/>
      <w:outlineLvl w:val="0"/>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F4215"/>
    <w:pPr>
      <w:ind w:left="720"/>
      <w:contextualSpacing/>
    </w:pPr>
  </w:style>
  <w:style w:type="paragraph" w:styleId="BalloonText">
    <w:name w:val="Balloon Text"/>
    <w:basedOn w:val="Normal"/>
    <w:link w:val="BalloonTextChar"/>
    <w:uiPriority w:val="99"/>
    <w:semiHidden/>
    <w:unhideWhenUsed/>
    <w:rsid w:val="006E59E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9E5"/>
    <w:rPr>
      <w:rFonts w:ascii="Segoe UI" w:hAnsi="Segoe UI" w:cs="Segoe UI"/>
      <w:sz w:val="18"/>
      <w:szCs w:val="18"/>
    </w:rPr>
  </w:style>
  <w:style w:type="paragraph" w:styleId="Header">
    <w:name w:val="header"/>
    <w:basedOn w:val="Normal"/>
    <w:link w:val="HeaderChar"/>
    <w:uiPriority w:val="99"/>
    <w:unhideWhenUsed/>
    <w:rsid w:val="00D1644A"/>
    <w:pPr>
      <w:tabs>
        <w:tab w:val="center" w:pos="4680"/>
        <w:tab w:val="right" w:pos="9360"/>
      </w:tabs>
      <w:spacing w:after="0"/>
    </w:pPr>
  </w:style>
  <w:style w:type="character" w:customStyle="1" w:styleId="HeaderChar">
    <w:name w:val="Header Char"/>
    <w:basedOn w:val="DefaultParagraphFont"/>
    <w:link w:val="Header"/>
    <w:uiPriority w:val="99"/>
    <w:rsid w:val="00D1644A"/>
  </w:style>
  <w:style w:type="paragraph" w:styleId="Footer">
    <w:name w:val="footer"/>
    <w:basedOn w:val="Normal"/>
    <w:link w:val="FooterChar"/>
    <w:uiPriority w:val="99"/>
    <w:unhideWhenUsed/>
    <w:rsid w:val="00D1644A"/>
    <w:pPr>
      <w:tabs>
        <w:tab w:val="center" w:pos="4680"/>
        <w:tab w:val="right" w:pos="9360"/>
      </w:tabs>
      <w:spacing w:after="0"/>
    </w:pPr>
  </w:style>
  <w:style w:type="character" w:customStyle="1" w:styleId="FooterChar">
    <w:name w:val="Footer Char"/>
    <w:basedOn w:val="DefaultParagraphFont"/>
    <w:link w:val="Footer"/>
    <w:uiPriority w:val="99"/>
    <w:rsid w:val="00D1644A"/>
  </w:style>
  <w:style w:type="character" w:styleId="CommentReference">
    <w:name w:val="annotation reference"/>
    <w:basedOn w:val="DefaultParagraphFont"/>
    <w:uiPriority w:val="99"/>
    <w:semiHidden/>
    <w:unhideWhenUsed/>
    <w:rsid w:val="00187160"/>
    <w:rPr>
      <w:sz w:val="16"/>
      <w:szCs w:val="16"/>
    </w:rPr>
  </w:style>
  <w:style w:type="paragraph" w:styleId="CommentText">
    <w:name w:val="annotation text"/>
    <w:basedOn w:val="Normal"/>
    <w:link w:val="CommentTextChar"/>
    <w:uiPriority w:val="99"/>
    <w:semiHidden/>
    <w:unhideWhenUsed/>
    <w:rsid w:val="00187160"/>
    <w:rPr>
      <w:sz w:val="20"/>
      <w:szCs w:val="20"/>
    </w:rPr>
  </w:style>
  <w:style w:type="character" w:customStyle="1" w:styleId="CommentTextChar">
    <w:name w:val="Comment Text Char"/>
    <w:basedOn w:val="DefaultParagraphFont"/>
    <w:link w:val="CommentText"/>
    <w:uiPriority w:val="99"/>
    <w:semiHidden/>
    <w:rsid w:val="00187160"/>
    <w:rPr>
      <w:sz w:val="20"/>
      <w:szCs w:val="20"/>
    </w:rPr>
  </w:style>
  <w:style w:type="paragraph" w:styleId="CommentSubject">
    <w:name w:val="annotation subject"/>
    <w:basedOn w:val="CommentText"/>
    <w:next w:val="CommentText"/>
    <w:link w:val="CommentSubjectChar"/>
    <w:uiPriority w:val="99"/>
    <w:semiHidden/>
    <w:unhideWhenUsed/>
    <w:rsid w:val="00187160"/>
    <w:rPr>
      <w:b/>
      <w:bCs/>
    </w:rPr>
  </w:style>
  <w:style w:type="character" w:customStyle="1" w:styleId="CommentSubjectChar">
    <w:name w:val="Comment Subject Char"/>
    <w:basedOn w:val="CommentTextChar"/>
    <w:link w:val="CommentSubject"/>
    <w:uiPriority w:val="99"/>
    <w:semiHidden/>
    <w:rsid w:val="00187160"/>
    <w:rPr>
      <w:b/>
      <w:bCs/>
      <w:sz w:val="20"/>
      <w:szCs w:val="20"/>
    </w:rPr>
  </w:style>
  <w:style w:type="character" w:styleId="Hyperlink">
    <w:name w:val="Hyperlink"/>
    <w:basedOn w:val="DefaultParagraphFont"/>
    <w:uiPriority w:val="99"/>
    <w:unhideWhenUsed/>
    <w:rsid w:val="00210515"/>
    <w:rPr>
      <w:color w:val="0563C1" w:themeColor="hyperlink"/>
      <w:u w:val="single"/>
    </w:rPr>
  </w:style>
  <w:style w:type="character" w:customStyle="1" w:styleId="A10">
    <w:name w:val="A10"/>
    <w:uiPriority w:val="99"/>
    <w:rsid w:val="00A51B51"/>
    <w:rPr>
      <w:rFonts w:cs="Verdana"/>
      <w:color w:val="221E1F"/>
      <w:sz w:val="16"/>
      <w:szCs w:val="16"/>
    </w:rPr>
  </w:style>
  <w:style w:type="paragraph" w:styleId="FootnoteText">
    <w:name w:val="footnote text"/>
    <w:basedOn w:val="Normal"/>
    <w:link w:val="FootnoteTextChar"/>
    <w:uiPriority w:val="99"/>
    <w:unhideWhenUsed/>
    <w:rsid w:val="000D02E5"/>
    <w:pPr>
      <w:spacing w:after="0"/>
    </w:pPr>
    <w:rPr>
      <w:sz w:val="20"/>
      <w:szCs w:val="20"/>
    </w:rPr>
  </w:style>
  <w:style w:type="character" w:customStyle="1" w:styleId="FootnoteTextChar">
    <w:name w:val="Footnote Text Char"/>
    <w:basedOn w:val="DefaultParagraphFont"/>
    <w:link w:val="FootnoteText"/>
    <w:uiPriority w:val="99"/>
    <w:rsid w:val="000D02E5"/>
    <w:rPr>
      <w:sz w:val="20"/>
      <w:szCs w:val="20"/>
    </w:rPr>
  </w:style>
  <w:style w:type="character" w:styleId="FootnoteReference">
    <w:name w:val="footnote reference"/>
    <w:basedOn w:val="DefaultParagraphFont"/>
    <w:uiPriority w:val="99"/>
    <w:semiHidden/>
    <w:unhideWhenUsed/>
    <w:rsid w:val="000D02E5"/>
    <w:rPr>
      <w:vertAlign w:val="superscript"/>
    </w:rPr>
  </w:style>
  <w:style w:type="paragraph" w:styleId="Title">
    <w:name w:val="Title"/>
    <w:basedOn w:val="Normal"/>
    <w:next w:val="Normal"/>
    <w:link w:val="TitleChar"/>
    <w:uiPriority w:val="10"/>
    <w:qFormat/>
    <w:rsid w:val="00E615F6"/>
    <w:pPr>
      <w:spacing w:after="0"/>
      <w:jc w:val="center"/>
    </w:pPr>
    <w:rPr>
      <w:noProof/>
      <w:color w:val="002060"/>
      <w:sz w:val="40"/>
    </w:rPr>
  </w:style>
  <w:style w:type="character" w:customStyle="1" w:styleId="TitleChar">
    <w:name w:val="Title Char"/>
    <w:basedOn w:val="DefaultParagraphFont"/>
    <w:link w:val="Title"/>
    <w:uiPriority w:val="10"/>
    <w:rsid w:val="00E615F6"/>
    <w:rPr>
      <w:rFonts w:ascii="Gill Sans MT" w:hAnsi="Gill Sans MT"/>
      <w:noProof/>
      <w:color w:val="002060"/>
      <w:sz w:val="40"/>
    </w:rPr>
  </w:style>
  <w:style w:type="character" w:customStyle="1" w:styleId="Heading1Char">
    <w:name w:val="Heading 1 Char"/>
    <w:basedOn w:val="DefaultParagraphFont"/>
    <w:link w:val="Heading1"/>
    <w:uiPriority w:val="9"/>
    <w:rsid w:val="00D05F54"/>
    <w:rPr>
      <w:rFonts w:ascii="Gill Sans MT" w:hAnsi="Gill Sans MT"/>
      <w:b/>
      <w:sz w:val="24"/>
      <w:szCs w:val="24"/>
    </w:rPr>
  </w:style>
  <w:style w:type="paragraph" w:styleId="NoSpacing">
    <w:name w:val="No Spacing"/>
    <w:basedOn w:val="Normal"/>
    <w:uiPriority w:val="1"/>
    <w:qFormat/>
    <w:rsid w:val="00D05F54"/>
    <w:pPr>
      <w:spacing w:after="0"/>
    </w:pPr>
  </w:style>
  <w:style w:type="paragraph" w:customStyle="1" w:styleId="Bullet1">
    <w:name w:val="Bullet 1"/>
    <w:basedOn w:val="ListParagraph"/>
    <w:link w:val="Bullet1Char"/>
    <w:qFormat/>
    <w:rsid w:val="00D05F54"/>
    <w:pPr>
      <w:numPr>
        <w:numId w:val="2"/>
      </w:numPr>
      <w:spacing w:after="0"/>
    </w:pPr>
  </w:style>
  <w:style w:type="paragraph" w:customStyle="1" w:styleId="Bullet2">
    <w:name w:val="Bullet 2"/>
    <w:basedOn w:val="ListParagraph"/>
    <w:link w:val="Bullet2Char"/>
    <w:qFormat/>
    <w:rsid w:val="00CB5847"/>
    <w:pPr>
      <w:numPr>
        <w:ilvl w:val="1"/>
        <w:numId w:val="20"/>
      </w:numPr>
      <w:spacing w:after="0"/>
    </w:pPr>
  </w:style>
  <w:style w:type="character" w:customStyle="1" w:styleId="ListParagraphChar">
    <w:name w:val="List Paragraph Char"/>
    <w:basedOn w:val="DefaultParagraphFont"/>
    <w:link w:val="ListParagraph"/>
    <w:uiPriority w:val="34"/>
    <w:rsid w:val="00D05F54"/>
    <w:rPr>
      <w:rFonts w:ascii="Gill Sans MT" w:hAnsi="Gill Sans MT"/>
    </w:rPr>
  </w:style>
  <w:style w:type="character" w:customStyle="1" w:styleId="Bullet1Char">
    <w:name w:val="Bullet 1 Char"/>
    <w:basedOn w:val="ListParagraphChar"/>
    <w:link w:val="Bullet1"/>
    <w:rsid w:val="00D05F54"/>
    <w:rPr>
      <w:rFonts w:ascii="Gill Sans MT" w:hAnsi="Gill Sans MT"/>
    </w:rPr>
  </w:style>
  <w:style w:type="paragraph" w:customStyle="1" w:styleId="Bullet3">
    <w:name w:val="Bullet 3"/>
    <w:basedOn w:val="ListParagraph"/>
    <w:link w:val="Bullet3Char"/>
    <w:qFormat/>
    <w:rsid w:val="00CB5847"/>
    <w:pPr>
      <w:numPr>
        <w:ilvl w:val="2"/>
        <w:numId w:val="15"/>
      </w:numPr>
      <w:spacing w:after="0"/>
    </w:pPr>
  </w:style>
  <w:style w:type="character" w:customStyle="1" w:styleId="Bullet2Char">
    <w:name w:val="Bullet 2 Char"/>
    <w:basedOn w:val="ListParagraphChar"/>
    <w:link w:val="Bullet2"/>
    <w:rsid w:val="00CB5847"/>
    <w:rPr>
      <w:rFonts w:ascii="Gill Sans MT" w:hAnsi="Gill Sans MT"/>
    </w:rPr>
  </w:style>
  <w:style w:type="character" w:customStyle="1" w:styleId="Bullet3Char">
    <w:name w:val="Bullet 3 Char"/>
    <w:basedOn w:val="ListParagraphChar"/>
    <w:link w:val="Bullet3"/>
    <w:rsid w:val="00CB5847"/>
    <w:rPr>
      <w:rFonts w:ascii="Gill Sans MT" w:hAnsi="Gill Sans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14872">
      <w:bodyDiv w:val="1"/>
      <w:marLeft w:val="0"/>
      <w:marRight w:val="0"/>
      <w:marTop w:val="0"/>
      <w:marBottom w:val="0"/>
      <w:divBdr>
        <w:top w:val="none" w:sz="0" w:space="0" w:color="auto"/>
        <w:left w:val="none" w:sz="0" w:space="0" w:color="auto"/>
        <w:bottom w:val="none" w:sz="0" w:space="0" w:color="auto"/>
        <w:right w:val="none" w:sz="0" w:space="0" w:color="auto"/>
      </w:divBdr>
    </w:div>
    <w:div w:id="502668208">
      <w:bodyDiv w:val="1"/>
      <w:marLeft w:val="0"/>
      <w:marRight w:val="0"/>
      <w:marTop w:val="0"/>
      <w:marBottom w:val="0"/>
      <w:divBdr>
        <w:top w:val="none" w:sz="0" w:space="0" w:color="auto"/>
        <w:left w:val="none" w:sz="0" w:space="0" w:color="auto"/>
        <w:bottom w:val="none" w:sz="0" w:space="0" w:color="auto"/>
        <w:right w:val="none" w:sz="0" w:space="0" w:color="auto"/>
      </w:divBdr>
    </w:div>
    <w:div w:id="547110061">
      <w:bodyDiv w:val="1"/>
      <w:marLeft w:val="0"/>
      <w:marRight w:val="0"/>
      <w:marTop w:val="0"/>
      <w:marBottom w:val="0"/>
      <w:divBdr>
        <w:top w:val="none" w:sz="0" w:space="0" w:color="auto"/>
        <w:left w:val="none" w:sz="0" w:space="0" w:color="auto"/>
        <w:bottom w:val="none" w:sz="0" w:space="0" w:color="auto"/>
        <w:right w:val="none" w:sz="0" w:space="0" w:color="auto"/>
      </w:divBdr>
    </w:div>
    <w:div w:id="583340122">
      <w:bodyDiv w:val="1"/>
      <w:marLeft w:val="0"/>
      <w:marRight w:val="0"/>
      <w:marTop w:val="0"/>
      <w:marBottom w:val="0"/>
      <w:divBdr>
        <w:top w:val="none" w:sz="0" w:space="0" w:color="auto"/>
        <w:left w:val="none" w:sz="0" w:space="0" w:color="auto"/>
        <w:bottom w:val="none" w:sz="0" w:space="0" w:color="auto"/>
        <w:right w:val="none" w:sz="0" w:space="0" w:color="auto"/>
      </w:divBdr>
    </w:div>
    <w:div w:id="1111046000">
      <w:bodyDiv w:val="1"/>
      <w:marLeft w:val="0"/>
      <w:marRight w:val="0"/>
      <w:marTop w:val="0"/>
      <w:marBottom w:val="0"/>
      <w:divBdr>
        <w:top w:val="none" w:sz="0" w:space="0" w:color="auto"/>
        <w:left w:val="none" w:sz="0" w:space="0" w:color="auto"/>
        <w:bottom w:val="none" w:sz="0" w:space="0" w:color="auto"/>
        <w:right w:val="none" w:sz="0" w:space="0" w:color="auto"/>
      </w:divBdr>
    </w:div>
    <w:div w:id="1195657659">
      <w:bodyDiv w:val="1"/>
      <w:marLeft w:val="0"/>
      <w:marRight w:val="0"/>
      <w:marTop w:val="0"/>
      <w:marBottom w:val="0"/>
      <w:divBdr>
        <w:top w:val="none" w:sz="0" w:space="0" w:color="auto"/>
        <w:left w:val="none" w:sz="0" w:space="0" w:color="auto"/>
        <w:bottom w:val="none" w:sz="0" w:space="0" w:color="auto"/>
        <w:right w:val="none" w:sz="0" w:space="0" w:color="auto"/>
      </w:divBdr>
    </w:div>
    <w:div w:id="1311520277">
      <w:bodyDiv w:val="1"/>
      <w:marLeft w:val="0"/>
      <w:marRight w:val="0"/>
      <w:marTop w:val="0"/>
      <w:marBottom w:val="0"/>
      <w:divBdr>
        <w:top w:val="none" w:sz="0" w:space="0" w:color="auto"/>
        <w:left w:val="none" w:sz="0" w:space="0" w:color="auto"/>
        <w:bottom w:val="none" w:sz="0" w:space="0" w:color="auto"/>
        <w:right w:val="none" w:sz="0" w:space="0" w:color="auto"/>
      </w:divBdr>
    </w:div>
    <w:div w:id="1333291987">
      <w:bodyDiv w:val="1"/>
      <w:marLeft w:val="0"/>
      <w:marRight w:val="0"/>
      <w:marTop w:val="0"/>
      <w:marBottom w:val="0"/>
      <w:divBdr>
        <w:top w:val="none" w:sz="0" w:space="0" w:color="auto"/>
        <w:left w:val="none" w:sz="0" w:space="0" w:color="auto"/>
        <w:bottom w:val="none" w:sz="0" w:space="0" w:color="auto"/>
        <w:right w:val="none" w:sz="0" w:space="0" w:color="auto"/>
      </w:divBdr>
    </w:div>
    <w:div w:id="1542783384">
      <w:bodyDiv w:val="1"/>
      <w:marLeft w:val="0"/>
      <w:marRight w:val="0"/>
      <w:marTop w:val="0"/>
      <w:marBottom w:val="0"/>
      <w:divBdr>
        <w:top w:val="none" w:sz="0" w:space="0" w:color="auto"/>
        <w:left w:val="none" w:sz="0" w:space="0" w:color="auto"/>
        <w:bottom w:val="none" w:sz="0" w:space="0" w:color="auto"/>
        <w:right w:val="none" w:sz="0" w:space="0" w:color="auto"/>
      </w:divBdr>
    </w:div>
    <w:div w:id="1548569860">
      <w:bodyDiv w:val="1"/>
      <w:marLeft w:val="0"/>
      <w:marRight w:val="0"/>
      <w:marTop w:val="0"/>
      <w:marBottom w:val="0"/>
      <w:divBdr>
        <w:top w:val="none" w:sz="0" w:space="0" w:color="auto"/>
        <w:left w:val="none" w:sz="0" w:space="0" w:color="auto"/>
        <w:bottom w:val="none" w:sz="0" w:space="0" w:color="auto"/>
        <w:right w:val="none" w:sz="0" w:space="0" w:color="auto"/>
      </w:divBdr>
    </w:div>
    <w:div w:id="180939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fpntc.org/cop/sustainability"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http://fpntc.org/cop/sustainabilit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DC6F77-7920-4678-8FFE-6C3FBBCBD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1884</Words>
  <Characters>10745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John Snow Inc.</Company>
  <LinksUpToDate>false</LinksUpToDate>
  <CharactersWithSpaces>12604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Wood</dc:creator>
  <cp:lastModifiedBy>JSI</cp:lastModifiedBy>
  <cp:revision>2</cp:revision>
  <cp:lastPrinted>2015-11-09T13:30:00Z</cp:lastPrinted>
  <dcterms:created xsi:type="dcterms:W3CDTF">2017-09-15T19:52:00Z</dcterms:created>
  <dcterms:modified xsi:type="dcterms:W3CDTF">2017-09-15T19:52:00Z</dcterms:modified>
</cp:coreProperties>
</file>