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color w:val="404040"/>
          <w:sz w:val="20"/>
          <w:szCs w:val="20"/>
        </w:rPr>
      </w:pPr>
      <w:r w:rsidDel="00000000" w:rsidR="00000000" w:rsidRPr="00000000">
        <w:rPr>
          <w:rFonts w:ascii="Arial" w:cs="Arial" w:eastAsia="Arial" w:hAnsi="Arial"/>
          <w:color w:val="404040"/>
          <w:sz w:val="20"/>
          <w:szCs w:val="20"/>
          <w:rtl w:val="0"/>
        </w:rPr>
        <w:t xml:space="preserve">[INSERT AGENCY NAME AND LOGO]</w:t>
      </w:r>
    </w:p>
    <w:p w:rsidR="00000000" w:rsidDel="00000000" w:rsidP="00000000" w:rsidRDefault="00000000" w:rsidRPr="00000000" w14:paraId="00000002">
      <w:pPr>
        <w:spacing w:after="360" w:lineRule="auto"/>
        <w:jc w:val="center"/>
        <w:rPr>
          <w:rFonts w:ascii="Arial" w:cs="Arial" w:eastAsia="Arial" w:hAnsi="Arial"/>
          <w:b w:val="1"/>
          <w:bCs w:val="1"/>
          <w:color w:val="404040"/>
          <w:sz w:val="20"/>
          <w:szCs w:val="20"/>
        </w:rPr>
      </w:pPr>
      <w:r w:rsidDel="00000000" w:rsidR="00000000" w:rsidRPr="00000000">
        <w:rPr>
          <w:rFonts w:ascii="Arial" w:cs="Arial" w:eastAsia="Arial" w:hAnsi="Arial"/>
          <w:b w:val="1"/>
          <w:bCs w:val="1"/>
          <w:color w:val="404040"/>
          <w:sz w:val="20"/>
          <w:szCs w:val="20"/>
          <w:rtl w:val="0"/>
        </w:rPr>
        <w:t xml:space="preserve">FAMILY PLANNING PROGRAM POLICY AND PROCEDURES</w:t>
      </w:r>
    </w:p>
    <w:p w:rsidR="00000000" w:rsidDel="00000000" w:rsidP="00000000" w:rsidRDefault="00000000" w:rsidRPr="00000000" w14:paraId="00000003">
      <w:pPr>
        <w:spacing w:before="240" w:lineRule="auto"/>
        <w:jc w:val="center"/>
        <w:rPr>
          <w:rFonts w:ascii="Arial" w:cs="Arial" w:eastAsia="Arial" w:hAnsi="Arial"/>
          <w:b w:val="1"/>
          <w:bCs w:val="1"/>
          <w:color w:val="21617c"/>
          <w:sz w:val="32"/>
          <w:szCs w:val="32"/>
        </w:rPr>
      </w:pPr>
      <w:r w:rsidDel="00000000" w:rsidR="00000000" w:rsidRPr="00000000">
        <w:rPr>
          <w:rFonts w:ascii="Arial" w:cs="Arial" w:eastAsia="Arial" w:hAnsi="Arial"/>
          <w:b w:val="1"/>
          <w:bCs w:val="1"/>
          <w:color w:val="21617c"/>
          <w:sz w:val="32"/>
          <w:szCs w:val="32"/>
          <w:rtl w:val="0"/>
        </w:rPr>
        <w:t xml:space="preserve">Preconception Health Screening and Counseling</w:t>
      </w:r>
    </w:p>
    <w:p w:rsidR="00000000" w:rsidDel="00000000" w:rsidP="00000000" w:rsidRDefault="00000000" w:rsidRPr="00000000" w14:paraId="00000004">
      <w:pPr>
        <w:numPr>
          <w:ilvl w:val="0"/>
          <w:numId w:val="2"/>
        </w:numPr>
        <w:pBdr>
          <w:top w:space="0" w:sz="0" w:val="nil"/>
          <w:left w:space="0" w:sz="0" w:val="nil"/>
          <w:bottom w:space="0" w:sz="0" w:val="nil"/>
          <w:right w:space="0" w:sz="0" w:val="nil"/>
          <w:between w:space="0" w:sz="0" w:val="nil"/>
        </w:pBdr>
        <w:spacing w:after="12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According to the </w:t>
      </w:r>
      <w:hyperlink r:id="rId7">
        <w:r w:rsidDel="00000000" w:rsidR="00000000" w:rsidRPr="00000000">
          <w:rPr>
            <w:rFonts w:ascii="Arial" w:cs="Arial" w:eastAsia="Arial" w:hAnsi="Arial"/>
            <w:color w:val="0563c1"/>
            <w:sz w:val="20"/>
            <w:szCs w:val="20"/>
            <w:u w:val="single"/>
            <w:rtl w:val="0"/>
          </w:rPr>
          <w:t xml:space="preserve">Code of Federal Regulations 42 CFR 59.2</w:t>
        </w:r>
      </w:hyperlink>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i w:val="1"/>
          <w:iCs w:val="1"/>
          <w:sz w:val="20"/>
          <w:szCs w:val="20"/>
          <w:rtl w:val="0"/>
        </w:rPr>
        <w:t xml:space="preserve">Family planning services</w:t>
      </w:r>
      <w:r w:rsidDel="00000000" w:rsidR="00000000" w:rsidRPr="00000000">
        <w:rPr>
          <w:rFonts w:ascii="Arial" w:cs="Arial" w:eastAsia="Arial" w:hAnsi="Arial"/>
          <w:sz w:val="20"/>
          <w:szCs w:val="20"/>
          <w:rtl w:val="0"/>
        </w:rPr>
        <w:t xml:space="preserve"> include a broad range of medically approved services, which includes Food and Drug Administration (FDA)-approved contraceptive products and natural family planning methods, for clients who want to prevent pregnancy and space births, pregnancy testing and counseling, assistance to achieve pregnancy, basic infertility services, sexually transmitted infection (STI) services, and other preconception health services.”</w:t>
      </w:r>
      <w:r w:rsidDel="00000000" w:rsidR="00000000" w:rsidRPr="00000000">
        <w:rPr>
          <w:rtl w:val="0"/>
        </w:rPr>
      </w:r>
    </w:p>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spacing w:after="240" w:lineRule="auto"/>
        <w:ind w:left="720" w:hanging="360"/>
        <w:rPr>
          <w:rFonts w:ascii="Arial" w:cs="Arial" w:eastAsia="Arial" w:hAnsi="Arial"/>
          <w:color w:val="000000"/>
          <w:sz w:val="20"/>
          <w:szCs w:val="20"/>
        </w:rPr>
      </w:pPr>
      <w:hyperlink r:id="rId8">
        <w:r w:rsidDel="00000000" w:rsidR="00000000" w:rsidRPr="00000000">
          <w:rPr>
            <w:rFonts w:ascii="Arial" w:cs="Arial" w:eastAsia="Arial" w:hAnsi="Arial"/>
            <w:color w:val="0563c1"/>
            <w:sz w:val="20"/>
            <w:szCs w:val="20"/>
            <w:u w:val="single"/>
            <w:rtl w:val="0"/>
          </w:rPr>
          <w:t xml:space="preserve">Providing Quality Family Planning Services (QFP)</w:t>
        </w:r>
      </w:hyperlink>
      <w:r w:rsidDel="00000000" w:rsidR="00000000" w:rsidRPr="00000000">
        <w:rPr>
          <w:rFonts w:ascii="Arial" w:cs="Arial" w:eastAsia="Arial" w:hAnsi="Arial"/>
          <w:sz w:val="20"/>
          <w:szCs w:val="20"/>
          <w:rtl w:val="0"/>
        </w:rPr>
        <w:t xml:space="preserve"> requires that agencies offer preconception health services as a core component of family planning services and describes various components of these services: “Providers of family planning services should offer preconception health services to female and male clients in accordance with CDC’s recommendations to improve preconception health and health care.”</w:t>
      </w:r>
      <w:r w:rsidDel="00000000" w:rsidR="00000000" w:rsidRPr="00000000">
        <w:rPr>
          <w:rtl w:val="0"/>
        </w:rPr>
      </w:r>
    </w:p>
    <w:tbl>
      <w:tblPr>
        <w:tblStyle w:val="Table1"/>
        <w:tblW w:w="9570.0" w:type="dxa"/>
        <w:jc w:val="left"/>
        <w:tblBorders>
          <w:top w:color="8fb1be" w:space="0" w:sz="8" w:val="single"/>
          <w:left w:color="8fb1be" w:space="0" w:sz="8" w:val="single"/>
          <w:bottom w:color="8fb1be" w:space="0" w:sz="8" w:val="single"/>
          <w:right w:color="8fb1be" w:space="0" w:sz="8" w:val="single"/>
          <w:insideH w:color="8fb1be" w:space="0" w:sz="8" w:val="single"/>
          <w:insideV w:color="8fb1be" w:space="0" w:sz="8" w:val="single"/>
        </w:tblBorders>
        <w:tblLayout w:type="fixed"/>
        <w:tblLook w:val="0400"/>
      </w:tblPr>
      <w:tblGrid>
        <w:gridCol w:w="2385"/>
        <w:gridCol w:w="7185"/>
        <w:tblGridChange w:id="0">
          <w:tblGrid>
            <w:gridCol w:w="2385"/>
            <w:gridCol w:w="7185"/>
          </w:tblGrid>
        </w:tblGridChange>
      </w:tblGrid>
      <w:tr>
        <w:trPr>
          <w:cantSplit w:val="1"/>
          <w:tblHeader w:val="1"/>
        </w:trPr>
        <w:tc>
          <w:tcPr>
            <w:shd w:fill="bcd2d9" w:val="clear"/>
          </w:tcPr>
          <w:p w:rsidR="00000000" w:rsidDel="00000000" w:rsidP="00000000" w:rsidRDefault="00000000" w:rsidRPr="00000000" w14:paraId="00000006">
            <w:pPr>
              <w:rPr>
                <w:rFonts w:ascii="Arial" w:cs="Arial" w:eastAsia="Arial" w:hAnsi="Arial"/>
                <w:sz w:val="20"/>
                <w:szCs w:val="20"/>
              </w:rPr>
            </w:pPr>
            <w:bookmarkStart w:colFirst="0" w:colLast="0" w:name="_heading=h.30j0zll" w:id="0"/>
            <w:bookmarkEnd w:id="0"/>
            <w:r w:rsidDel="00000000" w:rsidR="00000000" w:rsidRPr="00000000">
              <w:rPr>
                <w:rFonts w:ascii="Arial" w:cs="Arial" w:eastAsia="Arial" w:hAnsi="Arial"/>
                <w:b w:val="1"/>
                <w:bCs w:val="1"/>
                <w:sz w:val="20"/>
                <w:szCs w:val="20"/>
                <w:rtl w:val="0"/>
              </w:rPr>
              <w:t xml:space="preserve">Policy Title</w:t>
            </w:r>
            <w:r w:rsidDel="00000000" w:rsidR="00000000" w:rsidRPr="00000000">
              <w:rPr>
                <w:rtl w:val="0"/>
              </w:rPr>
            </w:r>
          </w:p>
        </w:tc>
        <w:tc>
          <w:tcPr/>
          <w:p w:rsidR="00000000" w:rsidDel="00000000" w:rsidP="00000000" w:rsidRDefault="00000000" w:rsidRPr="00000000" w14:paraId="00000007">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Preconception Health Screening and Counseling</w:t>
            </w:r>
            <w:r w:rsidDel="00000000" w:rsidR="00000000" w:rsidRPr="00000000">
              <w:rPr>
                <w:rtl w:val="0"/>
              </w:rPr>
            </w:r>
          </w:p>
        </w:tc>
      </w:tr>
      <w:tr>
        <w:trPr>
          <w:cantSplit w:val="0"/>
          <w:tblHeader w:val="0"/>
        </w:trPr>
        <w:tc>
          <w:tcPr>
            <w:shd w:fill="bcd2d9" w:val="clear"/>
          </w:tcPr>
          <w:p w:rsidR="00000000" w:rsidDel="00000000" w:rsidP="00000000" w:rsidRDefault="00000000" w:rsidRPr="00000000" w14:paraId="00000008">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Effective Date</w:t>
            </w:r>
            <w:r w:rsidDel="00000000" w:rsidR="00000000" w:rsidRPr="00000000">
              <w:rPr>
                <w:rtl w:val="0"/>
              </w:rPr>
            </w:r>
          </w:p>
        </w:tc>
        <w:tc>
          <w:tcPr/>
          <w:p w:rsidR="00000000" w:rsidDel="00000000" w:rsidP="00000000" w:rsidRDefault="00000000" w:rsidRPr="00000000" w14:paraId="00000009">
            <w:pPr>
              <w:rPr>
                <w:rFonts w:ascii="Arial" w:cs="Arial" w:eastAsia="Arial" w:hAnsi="Arial"/>
                <w:sz w:val="20"/>
                <w:szCs w:val="20"/>
              </w:rPr>
            </w:pPr>
            <w:r w:rsidDel="00000000" w:rsidR="00000000" w:rsidRPr="00000000">
              <w:rPr>
                <w:rtl w:val="0"/>
              </w:rPr>
            </w:r>
          </w:p>
        </w:tc>
      </w:tr>
      <w:tr>
        <w:trPr>
          <w:cantSplit w:val="0"/>
          <w:tblHeader w:val="0"/>
        </w:trPr>
        <w:tc>
          <w:tcPr>
            <w:shd w:fill="bcd2d9" w:val="clear"/>
          </w:tcPr>
          <w:p w:rsidR="00000000" w:rsidDel="00000000" w:rsidP="00000000" w:rsidRDefault="00000000" w:rsidRPr="00000000" w14:paraId="0000000A">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Revision Dates</w:t>
            </w:r>
            <w:r w:rsidDel="00000000" w:rsidR="00000000" w:rsidRPr="00000000">
              <w:rPr>
                <w:rtl w:val="0"/>
              </w:rPr>
            </w:r>
          </w:p>
        </w:tc>
        <w:tc>
          <w:tcPr/>
          <w:p w:rsidR="00000000" w:rsidDel="00000000" w:rsidP="00000000" w:rsidRDefault="00000000" w:rsidRPr="00000000" w14:paraId="0000000B">
            <w:pPr>
              <w:rPr>
                <w:rFonts w:ascii="Arial" w:cs="Arial" w:eastAsia="Arial" w:hAnsi="Arial"/>
                <w:sz w:val="20"/>
                <w:szCs w:val="20"/>
              </w:rPr>
            </w:pPr>
            <w:r w:rsidDel="00000000" w:rsidR="00000000" w:rsidRPr="00000000">
              <w:rPr>
                <w:rtl w:val="0"/>
              </w:rPr>
            </w:r>
          </w:p>
        </w:tc>
      </w:tr>
      <w:tr>
        <w:trPr>
          <w:cantSplit w:val="0"/>
          <w:tblHeader w:val="0"/>
        </w:trPr>
        <w:tc>
          <w:tcPr>
            <w:shd w:fill="bcd2d9" w:val="clear"/>
          </w:tcPr>
          <w:p w:rsidR="00000000" w:rsidDel="00000000" w:rsidP="00000000" w:rsidRDefault="00000000" w:rsidRPr="00000000" w14:paraId="0000000C">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Review Due Date</w:t>
            </w:r>
            <w:r w:rsidDel="00000000" w:rsidR="00000000" w:rsidRPr="00000000">
              <w:rPr>
                <w:rtl w:val="0"/>
              </w:rPr>
            </w:r>
          </w:p>
        </w:tc>
        <w:tc>
          <w:tcPr/>
          <w:p w:rsidR="00000000" w:rsidDel="00000000" w:rsidP="00000000" w:rsidRDefault="00000000" w:rsidRPr="00000000" w14:paraId="0000000D">
            <w:pPr>
              <w:rPr>
                <w:rFonts w:ascii="Arial" w:cs="Arial" w:eastAsia="Arial" w:hAnsi="Arial"/>
                <w:sz w:val="20"/>
                <w:szCs w:val="20"/>
              </w:rPr>
            </w:pPr>
            <w:r w:rsidDel="00000000" w:rsidR="00000000" w:rsidRPr="00000000">
              <w:rPr>
                <w:rtl w:val="0"/>
              </w:rPr>
            </w:r>
          </w:p>
        </w:tc>
      </w:tr>
      <w:tr>
        <w:trPr>
          <w:cantSplit w:val="0"/>
          <w:trHeight w:val="1214" w:hRule="atLeast"/>
          <w:tblHeader w:val="0"/>
        </w:trPr>
        <w:tc>
          <w:tcPr>
            <w:shd w:fill="bcd2d9" w:val="clear"/>
          </w:tcPr>
          <w:p w:rsidR="00000000" w:rsidDel="00000000" w:rsidP="00000000" w:rsidRDefault="00000000" w:rsidRPr="00000000" w14:paraId="0000000E">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References</w:t>
            </w:r>
            <w:r w:rsidDel="00000000" w:rsidR="00000000" w:rsidRPr="00000000">
              <w:rPr>
                <w:rtl w:val="0"/>
              </w:rPr>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Code of Federal Regulations 42 CFR 59.14(a) and 59.5 (b)(1)</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 </w:t>
            </w:r>
            <w:hyperlink r:id="rId9">
              <w:r w:rsidDel="00000000" w:rsidR="00000000" w:rsidRPr="00000000">
                <w:rPr>
                  <w:rFonts w:ascii="Arial" w:cs="Arial" w:eastAsia="Arial" w:hAnsi="Arial"/>
                  <w:color w:val="0563c1"/>
                  <w:sz w:val="20"/>
                  <w:szCs w:val="20"/>
                  <w:u w:val="single"/>
                  <w:rtl w:val="0"/>
                </w:rPr>
                <w:t xml:space="preserve">https://ecfr.federalregister.gov/current/title-42/chapter-I/subchapter-D/part-59</w:t>
              </w:r>
            </w:hyperlink>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Providing Quality Family Planning Services: Recommendations from the Centers for Disease Control and Prevention and the U.S. Office of Population Affairs (QFP)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rPr>
                <w:rFonts w:ascii="Arial" w:cs="Arial" w:eastAsia="Arial" w:hAnsi="Arial"/>
                <w:color w:val="000000"/>
                <w:sz w:val="20"/>
                <w:szCs w:val="20"/>
              </w:rPr>
            </w:pPr>
            <w:hyperlink r:id="rId10">
              <w:r w:rsidDel="00000000" w:rsidR="00000000" w:rsidRPr="00000000">
                <w:rPr>
                  <w:rFonts w:ascii="Arial" w:cs="Arial" w:eastAsia="Arial" w:hAnsi="Arial"/>
                  <w:color w:val="0563c1"/>
                  <w:sz w:val="20"/>
                  <w:szCs w:val="20"/>
                  <w:u w:val="single"/>
                  <w:rtl w:val="0"/>
                </w:rPr>
                <w:t xml:space="preserve">https://www.cdc.gov/mmwr/pdf/rr/rr6304.pdf</w:t>
              </w:r>
            </w:hyperlink>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U.S. Preventive Services Task Force (USPSTF) A and B </w:t>
            </w:r>
            <w:r w:rsidDel="00000000" w:rsidR="00000000" w:rsidRPr="00000000">
              <w:rPr>
                <w:rFonts w:ascii="Arial" w:cs="Arial" w:eastAsia="Arial" w:hAnsi="Arial"/>
                <w:color w:val="000000"/>
                <w:sz w:val="20"/>
                <w:szCs w:val="20"/>
                <w:rtl w:val="0"/>
              </w:rPr>
              <w:t xml:space="preserve">Recommendations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 </w:t>
            </w:r>
            <w:hyperlink r:id="rId11">
              <w:r w:rsidDel="00000000" w:rsidR="00000000" w:rsidRPr="00000000">
                <w:rPr>
                  <w:rFonts w:ascii="Arial" w:cs="Arial" w:eastAsia="Arial" w:hAnsi="Arial"/>
                  <w:color w:val="0563c1"/>
                  <w:sz w:val="20"/>
                  <w:szCs w:val="20"/>
                  <w:u w:val="single"/>
                  <w:rtl w:val="0"/>
                </w:rPr>
                <w:t xml:space="preserve">https://www.uspreventiveservicestaskforce.org/uspstf/recommendation-topics/uspstf-and-b-recommendations</w:t>
              </w:r>
            </w:hyperlink>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r>
      <w:tr>
        <w:trPr>
          <w:cantSplit w:val="0"/>
          <w:tblHeader w:val="0"/>
        </w:trPr>
        <w:tc>
          <w:tcPr>
            <w:shd w:fill="bcd2d9" w:val="clear"/>
          </w:tcPr>
          <w:p w:rsidR="00000000" w:rsidDel="00000000" w:rsidP="00000000" w:rsidRDefault="00000000" w:rsidRPr="00000000" w14:paraId="00000017">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Approved by Signature</w:t>
            </w:r>
            <w:r w:rsidDel="00000000" w:rsidR="00000000" w:rsidRPr="00000000">
              <w:rPr>
                <w:rtl w:val="0"/>
              </w:rPr>
            </w:r>
          </w:p>
        </w:tc>
        <w:tc>
          <w:tcPr/>
          <w:p w:rsidR="00000000" w:rsidDel="00000000" w:rsidP="00000000" w:rsidRDefault="00000000" w:rsidRPr="00000000" w14:paraId="00000018">
            <w:pPr>
              <w:rPr>
                <w:rFonts w:ascii="Arial" w:cs="Arial" w:eastAsia="Arial" w:hAnsi="Arial"/>
                <w:sz w:val="20"/>
                <w:szCs w:val="20"/>
              </w:rPr>
            </w:pPr>
            <w:r w:rsidDel="00000000" w:rsidR="00000000" w:rsidRPr="00000000">
              <w:rPr>
                <w:rtl w:val="0"/>
              </w:rPr>
            </w:r>
          </w:p>
        </w:tc>
      </w:tr>
      <w:tr>
        <w:trPr>
          <w:cantSplit w:val="0"/>
          <w:tblHeader w:val="0"/>
        </w:trPr>
        <w:tc>
          <w:tcPr>
            <w:shd w:fill="bcd2d9" w:val="clear"/>
          </w:tcPr>
          <w:p w:rsidR="00000000" w:rsidDel="00000000" w:rsidP="00000000" w:rsidRDefault="00000000" w:rsidRPr="00000000" w14:paraId="00000019">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Approved Date</w:t>
            </w:r>
            <w:r w:rsidDel="00000000" w:rsidR="00000000" w:rsidRPr="00000000">
              <w:rPr>
                <w:rtl w:val="0"/>
              </w:rPr>
            </w:r>
          </w:p>
        </w:tc>
        <w:tc>
          <w:tcPr/>
          <w:p w:rsidR="00000000" w:rsidDel="00000000" w:rsidP="00000000" w:rsidRDefault="00000000" w:rsidRPr="00000000" w14:paraId="0000001A">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br w:type="page"/>
      </w:r>
      <w:r w:rsidDel="00000000" w:rsidR="00000000" w:rsidRPr="00000000">
        <w:rPr>
          <w:rtl w:val="0"/>
        </w:rPr>
      </w:r>
    </w:p>
    <w:p w:rsidR="00000000" w:rsidDel="00000000" w:rsidP="00000000" w:rsidRDefault="00000000" w:rsidRPr="00000000" w14:paraId="0000001D">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Purpose: </w:t>
      </w:r>
      <w:r w:rsidDel="00000000" w:rsidR="00000000" w:rsidRPr="00000000">
        <w:rPr>
          <w:rFonts w:ascii="Arial" w:cs="Arial" w:eastAsia="Arial" w:hAnsi="Arial"/>
          <w:sz w:val="20"/>
          <w:szCs w:val="20"/>
          <w:rtl w:val="0"/>
        </w:rPr>
        <w:t xml:space="preserve">The purpose of this policy is to describe </w:t>
      </w:r>
      <w:r w:rsidDel="00000000" w:rsidR="00000000" w:rsidRPr="00000000">
        <w:rPr>
          <w:rFonts w:ascii="Arial" w:cs="Arial" w:eastAsia="Arial" w:hAnsi="Arial"/>
          <w:b w:val="1"/>
          <w:bCs w:val="1"/>
          <w:i w:val="1"/>
          <w:iCs w:val="1"/>
          <w:sz w:val="20"/>
          <w:szCs w:val="20"/>
          <w:u w:val="single"/>
          <w:rtl w:val="0"/>
        </w:rPr>
        <w:t xml:space="preserve">(insert Agency Name)</w:t>
      </w:r>
      <w:r w:rsidDel="00000000" w:rsidR="00000000" w:rsidRPr="00000000">
        <w:rPr>
          <w:rFonts w:ascii="Arial" w:cs="Arial" w:eastAsia="Arial" w:hAnsi="Arial"/>
          <w:sz w:val="20"/>
          <w:szCs w:val="20"/>
          <w:rtl w:val="0"/>
        </w:rPr>
        <w:t xml:space="preserve"> process for ensuring compliance with the requirement that Title X grantees and subrecipients offer preconception health services to female and male clients as a core family planning service. These preconception health services must cover the following topics, as further described below: medical history; intimate partner violence; alcohol and other drug use; tobacco use; immunizations; depression; height, weight, and body mass index (BMI); blood pressure; and diabetes.</w:t>
      </w:r>
    </w:p>
    <w:p w:rsidR="00000000" w:rsidDel="00000000" w:rsidP="00000000" w:rsidRDefault="00000000" w:rsidRPr="00000000" w14:paraId="0000001E">
      <w:pPr>
        <w:rPr>
          <w:rFonts w:ascii="Arial" w:cs="Arial" w:eastAsia="Arial" w:hAnsi="Arial"/>
          <w:i w:val="1"/>
          <w:iCs w:val="1"/>
          <w:sz w:val="20"/>
          <w:szCs w:val="20"/>
        </w:rPr>
      </w:pPr>
      <w:r w:rsidDel="00000000" w:rsidR="00000000" w:rsidRPr="00000000">
        <w:rPr>
          <w:rFonts w:ascii="Arial" w:cs="Arial" w:eastAsia="Arial" w:hAnsi="Arial"/>
          <w:b w:val="1"/>
          <w:bCs w:val="1"/>
          <w:sz w:val="20"/>
          <w:szCs w:val="20"/>
          <w:rtl w:val="0"/>
        </w:rPr>
        <w:t xml:space="preserve">Policy: </w:t>
      </w:r>
      <w:r w:rsidDel="00000000" w:rsidR="00000000" w:rsidRPr="00000000">
        <w:rPr>
          <w:rFonts w:ascii="Arial" w:cs="Arial" w:eastAsia="Arial" w:hAnsi="Arial"/>
          <w:i w:val="1"/>
          <w:iCs w:val="1"/>
          <w:sz w:val="20"/>
          <w:szCs w:val="20"/>
          <w:rtl w:val="0"/>
        </w:rPr>
        <w:t xml:space="preserve">[Agency may want to include the following]</w:t>
      </w:r>
    </w:p>
    <w:p w:rsidR="00000000" w:rsidDel="00000000" w:rsidP="00000000" w:rsidRDefault="00000000" w:rsidRPr="00000000" w14:paraId="0000001F">
      <w:pPr>
        <w:rPr>
          <w:rFonts w:ascii="Arial" w:cs="Arial" w:eastAsia="Arial" w:hAnsi="Arial"/>
          <w:sz w:val="20"/>
          <w:szCs w:val="20"/>
        </w:rPr>
      </w:pPr>
      <w:r w:rsidDel="00000000" w:rsidR="00000000" w:rsidRPr="00000000">
        <w:rPr>
          <w:rFonts w:ascii="Arial" w:cs="Arial" w:eastAsia="Arial" w:hAnsi="Arial"/>
          <w:sz w:val="20"/>
          <w:szCs w:val="20"/>
          <w:rtl w:val="0"/>
        </w:rPr>
        <w:t xml:space="preserve">For all clients served by the project (regardless of sex and age), we will provide the following services, as appropriate: </w:t>
      </w:r>
    </w:p>
    <w:p w:rsidR="00000000" w:rsidDel="00000000" w:rsidP="00000000" w:rsidRDefault="00000000" w:rsidRPr="00000000" w14:paraId="00000020">
      <w:pPr>
        <w:rPr>
          <w:rFonts w:ascii="Arial" w:cs="Arial" w:eastAsia="Arial" w:hAnsi="Arial"/>
          <w:i w:val="1"/>
          <w:iCs w:val="1"/>
          <w:sz w:val="20"/>
          <w:szCs w:val="20"/>
        </w:rPr>
      </w:pPr>
      <w:r w:rsidDel="00000000" w:rsidR="00000000" w:rsidRPr="00000000">
        <w:rPr>
          <w:rFonts w:ascii="Arial" w:cs="Arial" w:eastAsia="Arial" w:hAnsi="Arial"/>
          <w:i w:val="1"/>
          <w:iCs w:val="1"/>
          <w:color w:val="000000"/>
          <w:sz w:val="20"/>
          <w:szCs w:val="20"/>
          <w:highlight w:val="white"/>
          <w:rtl w:val="0"/>
        </w:rPr>
        <w:t xml:space="preserve">For example:</w:t>
      </w:r>
      <w:r w:rsidDel="00000000" w:rsidR="00000000" w:rsidRPr="00000000">
        <w:rPr>
          <w:rtl w:val="0"/>
        </w:rPr>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after="0" w:lineRule="auto"/>
        <w:ind w:left="3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Folic acid</w:t>
      </w:r>
    </w:p>
    <w:p w:rsidR="00000000" w:rsidDel="00000000" w:rsidP="00000000" w:rsidRDefault="00000000" w:rsidRPr="00000000" w14:paraId="00000022">
      <w:pPr>
        <w:numPr>
          <w:ilvl w:val="1"/>
          <w:numId w:val="1"/>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Counsel</w:t>
      </w:r>
      <w:r w:rsidDel="00000000" w:rsidR="00000000" w:rsidRPr="00000000">
        <w:rPr>
          <w:rFonts w:ascii="Arial" w:cs="Arial" w:eastAsia="Arial" w:hAnsi="Arial"/>
          <w:b w:val="1"/>
          <w:bCs w:val="1"/>
          <w:i w:val="1"/>
          <w:iCs w:val="1"/>
          <w:color w:val="000000"/>
          <w:sz w:val="20"/>
          <w:szCs w:val="20"/>
          <w:rtl w:val="0"/>
        </w:rPr>
        <w:t xml:space="preserve"> </w:t>
      </w:r>
      <w:r w:rsidDel="00000000" w:rsidR="00000000" w:rsidRPr="00000000">
        <w:rPr>
          <w:rFonts w:ascii="Arial" w:cs="Arial" w:eastAsia="Arial" w:hAnsi="Arial"/>
          <w:color w:val="000000"/>
          <w:sz w:val="20"/>
          <w:szCs w:val="20"/>
          <w:rtl w:val="0"/>
        </w:rPr>
        <w:t xml:space="preserve">all females planning or capable of pregnancy about the need to take 0.4–0.8 mg of folic acid daily, in accordance with the </w:t>
      </w:r>
      <w:hyperlink r:id="rId12">
        <w:r w:rsidDel="00000000" w:rsidR="00000000" w:rsidRPr="00000000">
          <w:rPr>
            <w:rFonts w:ascii="Arial" w:cs="Arial" w:eastAsia="Arial" w:hAnsi="Arial"/>
            <w:color w:val="0563c1"/>
            <w:sz w:val="20"/>
            <w:szCs w:val="20"/>
            <w:u w:val="single"/>
            <w:rtl w:val="0"/>
          </w:rPr>
          <w:t xml:space="preserve">U.S. Preventive Services Task Force (USPSTF) recommendation (Grade A)</w:t>
        </w:r>
      </w:hyperlink>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after="0" w:lineRule="auto"/>
        <w:ind w:left="3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Reproductive goals</w:t>
      </w:r>
    </w:p>
    <w:p w:rsidR="00000000" w:rsidDel="00000000" w:rsidP="00000000" w:rsidRDefault="00000000" w:rsidRPr="00000000" w14:paraId="00000024">
      <w:pPr>
        <w:numPr>
          <w:ilvl w:val="1"/>
          <w:numId w:val="1"/>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Assess reproductive goals and sexual health for all clients. Engage in a client-centered conversation about preconception care, contraception, and/or fertility, as appropriate.</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after="0" w:lineRule="auto"/>
        <w:ind w:left="3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Female medical history</w:t>
      </w:r>
    </w:p>
    <w:p w:rsidR="00000000" w:rsidDel="00000000" w:rsidP="00000000" w:rsidRDefault="00000000" w:rsidRPr="00000000" w14:paraId="00000026">
      <w:pPr>
        <w:numPr>
          <w:ilvl w:val="1"/>
          <w:numId w:val="1"/>
        </w:numPr>
        <w:pBdr>
          <w:top w:space="0" w:sz="0" w:val="nil"/>
          <w:left w:space="0" w:sz="0" w:val="nil"/>
          <w:bottom w:space="0" w:sz="0" w:val="nil"/>
          <w:right w:space="0" w:sz="0" w:val="nil"/>
          <w:between w:space="0" w:sz="0" w:val="nil"/>
        </w:pBdr>
        <w:spacing w:after="0" w:line="240" w:lineRule="auto"/>
        <w:ind w:left="1080" w:hanging="36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In accordance with the QFP, </w:t>
      </w:r>
      <w:r w:rsidDel="00000000" w:rsidR="00000000" w:rsidRPr="00000000">
        <w:rPr>
          <w:rFonts w:ascii="Arial" w:cs="Arial" w:eastAsia="Arial" w:hAnsi="Arial"/>
          <w:color w:val="000000"/>
          <w:sz w:val="20"/>
          <w:szCs w:val="20"/>
          <w:rtl w:val="0"/>
        </w:rPr>
        <w:t xml:space="preserve">obtain</w:t>
      </w:r>
      <w:r w:rsidDel="00000000" w:rsidR="00000000" w:rsidRPr="00000000">
        <w:rPr>
          <w:rFonts w:ascii="Arial" w:cs="Arial" w:eastAsia="Arial" w:hAnsi="Arial"/>
          <w:b w:val="1"/>
          <w:bCs w:val="1"/>
          <w:i w:val="1"/>
          <w:iCs w:val="1"/>
          <w:color w:val="000000"/>
          <w:sz w:val="20"/>
          <w:szCs w:val="20"/>
          <w:rtl w:val="0"/>
        </w:rPr>
        <w:t xml:space="preserve"> </w:t>
      </w:r>
      <w:r w:rsidDel="00000000" w:rsidR="00000000" w:rsidRPr="00000000">
        <w:rPr>
          <w:rFonts w:ascii="Arial" w:cs="Arial" w:eastAsia="Arial" w:hAnsi="Arial"/>
          <w:color w:val="000000"/>
          <w:sz w:val="20"/>
          <w:szCs w:val="20"/>
          <w:rtl w:val="0"/>
        </w:rPr>
        <w:t xml:space="preserve">a medical history from </w:t>
      </w:r>
      <w:r w:rsidDel="00000000" w:rsidR="00000000" w:rsidRPr="00000000">
        <w:rPr>
          <w:rFonts w:ascii="Arial" w:cs="Arial" w:eastAsia="Arial" w:hAnsi="Arial"/>
          <w:sz w:val="20"/>
          <w:szCs w:val="20"/>
          <w:rtl w:val="0"/>
        </w:rPr>
        <w:t xml:space="preserve">f</w:t>
      </w:r>
      <w:r w:rsidDel="00000000" w:rsidR="00000000" w:rsidRPr="00000000">
        <w:rPr>
          <w:rFonts w:ascii="Arial" w:cs="Arial" w:eastAsia="Arial" w:hAnsi="Arial"/>
          <w:color w:val="000000"/>
          <w:sz w:val="20"/>
          <w:szCs w:val="20"/>
          <w:rtl w:val="0"/>
        </w:rPr>
        <w:t xml:space="preserve">emales that includes the following:</w:t>
      </w:r>
    </w:p>
    <w:p w:rsidR="00000000" w:rsidDel="00000000" w:rsidP="00000000" w:rsidRDefault="00000000" w:rsidRPr="00000000" w14:paraId="00000027">
      <w:pPr>
        <w:numPr>
          <w:ilvl w:val="2"/>
          <w:numId w:val="1"/>
        </w:numPr>
        <w:pBdr>
          <w:top w:space="0" w:sz="0" w:val="nil"/>
          <w:left w:space="0" w:sz="0" w:val="nil"/>
          <w:bottom w:space="0" w:sz="0" w:val="nil"/>
          <w:right w:space="0" w:sz="0" w:val="nil"/>
          <w:between w:space="0" w:sz="0" w:val="nil"/>
        </w:pBdr>
        <w:spacing w:after="0" w:line="240" w:lineRule="auto"/>
        <w:ind w:left="180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Reproductive history</w:t>
      </w:r>
    </w:p>
    <w:p w:rsidR="00000000" w:rsidDel="00000000" w:rsidP="00000000" w:rsidRDefault="00000000" w:rsidRPr="00000000" w14:paraId="00000028">
      <w:pPr>
        <w:numPr>
          <w:ilvl w:val="2"/>
          <w:numId w:val="1"/>
        </w:numPr>
        <w:pBdr>
          <w:top w:space="0" w:sz="0" w:val="nil"/>
          <w:left w:space="0" w:sz="0" w:val="nil"/>
          <w:bottom w:space="0" w:sz="0" w:val="nil"/>
          <w:right w:space="0" w:sz="0" w:val="nil"/>
          <w:between w:space="0" w:sz="0" w:val="nil"/>
        </w:pBdr>
        <w:spacing w:after="0" w:line="240" w:lineRule="auto"/>
        <w:ind w:left="180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History of poor birth outcomes (i.e., preterm, cesarean delivery, miscarriage, and stillbirth)</w:t>
      </w:r>
    </w:p>
    <w:p w:rsidR="00000000" w:rsidDel="00000000" w:rsidP="00000000" w:rsidRDefault="00000000" w:rsidRPr="00000000" w14:paraId="00000029">
      <w:pPr>
        <w:numPr>
          <w:ilvl w:val="2"/>
          <w:numId w:val="1"/>
        </w:numPr>
        <w:pBdr>
          <w:top w:space="0" w:sz="0" w:val="nil"/>
          <w:left w:space="0" w:sz="0" w:val="nil"/>
          <w:bottom w:space="0" w:sz="0" w:val="nil"/>
          <w:right w:space="0" w:sz="0" w:val="nil"/>
          <w:between w:space="0" w:sz="0" w:val="nil"/>
        </w:pBdr>
        <w:spacing w:after="0" w:line="240" w:lineRule="auto"/>
        <w:ind w:left="180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Environmental exposures, hazards, and toxins (e.g., tobacco, alcohol, and other drugs)</w:t>
      </w:r>
    </w:p>
    <w:p w:rsidR="00000000" w:rsidDel="00000000" w:rsidP="00000000" w:rsidRDefault="00000000" w:rsidRPr="00000000" w14:paraId="0000002A">
      <w:pPr>
        <w:numPr>
          <w:ilvl w:val="2"/>
          <w:numId w:val="1"/>
        </w:numPr>
        <w:pBdr>
          <w:top w:space="0" w:sz="0" w:val="nil"/>
          <w:left w:space="0" w:sz="0" w:val="nil"/>
          <w:bottom w:space="0" w:sz="0" w:val="nil"/>
          <w:right w:space="0" w:sz="0" w:val="nil"/>
          <w:between w:space="0" w:sz="0" w:val="nil"/>
        </w:pBdr>
        <w:spacing w:after="0" w:line="240" w:lineRule="auto"/>
        <w:ind w:left="180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Medications that are known teratogens </w:t>
      </w:r>
    </w:p>
    <w:p w:rsidR="00000000" w:rsidDel="00000000" w:rsidP="00000000" w:rsidRDefault="00000000" w:rsidRPr="00000000" w14:paraId="0000002B">
      <w:pPr>
        <w:numPr>
          <w:ilvl w:val="2"/>
          <w:numId w:val="1"/>
        </w:numPr>
        <w:pBdr>
          <w:top w:space="0" w:sz="0" w:val="nil"/>
          <w:left w:space="0" w:sz="0" w:val="nil"/>
          <w:bottom w:space="0" w:sz="0" w:val="nil"/>
          <w:right w:space="0" w:sz="0" w:val="nil"/>
          <w:between w:space="0" w:sz="0" w:val="nil"/>
        </w:pBdr>
        <w:spacing w:after="0" w:line="240" w:lineRule="auto"/>
        <w:ind w:left="180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Genetic conditions</w:t>
      </w:r>
    </w:p>
    <w:p w:rsidR="00000000" w:rsidDel="00000000" w:rsidP="00000000" w:rsidRDefault="00000000" w:rsidRPr="00000000" w14:paraId="0000002C">
      <w:pPr>
        <w:numPr>
          <w:ilvl w:val="2"/>
          <w:numId w:val="1"/>
        </w:numPr>
        <w:pBdr>
          <w:top w:space="0" w:sz="0" w:val="nil"/>
          <w:left w:space="0" w:sz="0" w:val="nil"/>
          <w:bottom w:space="0" w:sz="0" w:val="nil"/>
          <w:right w:space="0" w:sz="0" w:val="nil"/>
          <w:between w:space="0" w:sz="0" w:val="nil"/>
        </w:pBdr>
        <w:spacing w:after="0" w:line="240" w:lineRule="auto"/>
        <w:ind w:left="180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Family history</w:t>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Male medical history</w:t>
      </w:r>
    </w:p>
    <w:p w:rsidR="00000000" w:rsidDel="00000000" w:rsidP="00000000" w:rsidRDefault="00000000" w:rsidRPr="00000000" w14:paraId="0000002E">
      <w:pPr>
        <w:numPr>
          <w:ilvl w:val="1"/>
          <w:numId w:val="1"/>
        </w:numPr>
        <w:pBdr>
          <w:top w:space="0" w:sz="0" w:val="nil"/>
          <w:left w:space="0" w:sz="0" w:val="nil"/>
          <w:bottom w:space="0" w:sz="0" w:val="nil"/>
          <w:right w:space="0" w:sz="0" w:val="nil"/>
          <w:between w:space="0" w:sz="0" w:val="nil"/>
        </w:pBdr>
        <w:spacing w:after="0" w:line="240" w:lineRule="auto"/>
        <w:ind w:left="1080" w:hanging="36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In accordance with the QFP, </w:t>
      </w:r>
      <w:r w:rsidDel="00000000" w:rsidR="00000000" w:rsidRPr="00000000">
        <w:rPr>
          <w:rFonts w:ascii="Arial" w:cs="Arial" w:eastAsia="Arial" w:hAnsi="Arial"/>
          <w:color w:val="000000"/>
          <w:sz w:val="20"/>
          <w:szCs w:val="20"/>
          <w:rtl w:val="0"/>
        </w:rPr>
        <w:t xml:space="preserve">obtain a medical history from </w:t>
      </w:r>
      <w:r w:rsidDel="00000000" w:rsidR="00000000" w:rsidRPr="00000000">
        <w:rPr>
          <w:rFonts w:ascii="Arial" w:cs="Arial" w:eastAsia="Arial" w:hAnsi="Arial"/>
          <w:sz w:val="20"/>
          <w:szCs w:val="20"/>
          <w:rtl w:val="0"/>
        </w:rPr>
        <w:t xml:space="preserve">m</w:t>
      </w:r>
      <w:r w:rsidDel="00000000" w:rsidR="00000000" w:rsidRPr="00000000">
        <w:rPr>
          <w:rFonts w:ascii="Arial" w:cs="Arial" w:eastAsia="Arial" w:hAnsi="Arial"/>
          <w:color w:val="000000"/>
          <w:sz w:val="20"/>
          <w:szCs w:val="20"/>
          <w:rtl w:val="0"/>
        </w:rPr>
        <w:t xml:space="preserve">ales that includes the following:</w:t>
      </w:r>
    </w:p>
    <w:p w:rsidR="00000000" w:rsidDel="00000000" w:rsidP="00000000" w:rsidRDefault="00000000" w:rsidRPr="00000000" w14:paraId="0000002F">
      <w:pPr>
        <w:numPr>
          <w:ilvl w:val="2"/>
          <w:numId w:val="1"/>
        </w:numPr>
        <w:pBdr>
          <w:top w:space="0" w:sz="0" w:val="nil"/>
          <w:left w:space="0" w:sz="0" w:val="nil"/>
          <w:bottom w:space="0" w:sz="0" w:val="nil"/>
          <w:right w:space="0" w:sz="0" w:val="nil"/>
          <w:between w:space="0" w:sz="0" w:val="nil"/>
        </w:pBdr>
        <w:spacing w:after="0" w:line="240" w:lineRule="auto"/>
        <w:ind w:left="180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Medical and surgical history that might impair reproductive health (e.g., genetic conditions, including sickle cell disease or trait)</w:t>
      </w:r>
    </w:p>
    <w:p w:rsidR="00000000" w:rsidDel="00000000" w:rsidP="00000000" w:rsidRDefault="00000000" w:rsidRPr="00000000" w14:paraId="00000030">
      <w:pPr>
        <w:numPr>
          <w:ilvl w:val="2"/>
          <w:numId w:val="1"/>
        </w:numPr>
        <w:pBdr>
          <w:top w:space="0" w:sz="0" w:val="nil"/>
          <w:left w:space="0" w:sz="0" w:val="nil"/>
          <w:bottom w:space="0" w:sz="0" w:val="nil"/>
          <w:right w:space="0" w:sz="0" w:val="nil"/>
          <w:between w:space="0" w:sz="0" w:val="nil"/>
        </w:pBdr>
        <w:spacing w:after="0" w:line="240" w:lineRule="auto"/>
        <w:ind w:left="180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History of reproductive failures or conditions that can reduce sperm quality, such as obesity, diabetes mellitus, and varicocele </w:t>
      </w:r>
    </w:p>
    <w:p w:rsidR="00000000" w:rsidDel="00000000" w:rsidP="00000000" w:rsidRDefault="00000000" w:rsidRPr="00000000" w14:paraId="00000031">
      <w:pPr>
        <w:numPr>
          <w:ilvl w:val="2"/>
          <w:numId w:val="1"/>
        </w:numPr>
        <w:pBdr>
          <w:top w:space="0" w:sz="0" w:val="nil"/>
          <w:left w:space="0" w:sz="0" w:val="nil"/>
          <w:bottom w:space="0" w:sz="0" w:val="nil"/>
          <w:right w:space="0" w:sz="0" w:val="nil"/>
          <w:between w:space="0" w:sz="0" w:val="nil"/>
        </w:pBdr>
        <w:spacing w:after="0" w:line="240" w:lineRule="auto"/>
        <w:ind w:left="180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Environmental exposures, hazards, and toxins (e.g., tobacco, alcohol, and other drugs)</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after="0" w:lineRule="auto"/>
        <w:ind w:left="3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Intimate partner violence</w:t>
      </w:r>
    </w:p>
    <w:p w:rsidR="00000000" w:rsidDel="00000000" w:rsidP="00000000" w:rsidRDefault="00000000" w:rsidRPr="00000000" w14:paraId="00000033">
      <w:pPr>
        <w:numPr>
          <w:ilvl w:val="1"/>
          <w:numId w:val="1"/>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Screen females for intimate partner violence and provide or refer clients who screen positive to intervention services, in accordance with the </w:t>
      </w:r>
      <w:hyperlink r:id="rId13">
        <w:r w:rsidDel="00000000" w:rsidR="00000000" w:rsidRPr="00000000">
          <w:rPr>
            <w:rFonts w:ascii="Arial" w:cs="Arial" w:eastAsia="Arial" w:hAnsi="Arial"/>
            <w:color w:val="0563c1"/>
            <w:sz w:val="20"/>
            <w:szCs w:val="20"/>
            <w:u w:val="single"/>
            <w:rtl w:val="0"/>
          </w:rPr>
          <w:t xml:space="preserve">USPSTF recommendation (Grade B)</w:t>
        </w:r>
      </w:hyperlink>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pacing w:after="0" w:lineRule="auto"/>
        <w:ind w:left="3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Alcohol and other drug use</w:t>
      </w:r>
    </w:p>
    <w:p w:rsidR="00000000" w:rsidDel="00000000" w:rsidP="00000000" w:rsidRDefault="00000000" w:rsidRPr="00000000" w14:paraId="00000035">
      <w:pPr>
        <w:numPr>
          <w:ilvl w:val="1"/>
          <w:numId w:val="1"/>
        </w:numPr>
        <w:pBdr>
          <w:top w:space="0" w:sz="0" w:val="nil"/>
          <w:left w:space="0" w:sz="0" w:val="nil"/>
          <w:bottom w:space="0" w:sz="0" w:val="nil"/>
          <w:right w:space="0" w:sz="0" w:val="nil"/>
          <w:between w:space="0" w:sz="0" w:val="nil"/>
        </w:pBdr>
        <w:spacing w:after="0" w:line="240" w:lineRule="auto"/>
        <w:ind w:left="108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Screen all clients for </w:t>
      </w:r>
      <w:hyperlink r:id="rId14">
        <w:r w:rsidDel="00000000" w:rsidR="00000000" w:rsidRPr="00000000">
          <w:rPr>
            <w:rFonts w:ascii="Arial" w:cs="Arial" w:eastAsia="Arial" w:hAnsi="Arial"/>
            <w:color w:val="0563c1"/>
            <w:sz w:val="20"/>
            <w:szCs w:val="20"/>
            <w:u w:val="single"/>
            <w:rtl w:val="0"/>
          </w:rPr>
          <w:t xml:space="preserve">alcohol</w:t>
        </w:r>
      </w:hyperlink>
      <w:r w:rsidDel="00000000" w:rsidR="00000000" w:rsidRPr="00000000">
        <w:rPr>
          <w:rFonts w:ascii="Arial" w:cs="Arial" w:eastAsia="Arial" w:hAnsi="Arial"/>
          <w:color w:val="000000"/>
          <w:sz w:val="20"/>
          <w:szCs w:val="20"/>
          <w:rtl w:val="0"/>
        </w:rPr>
        <w:t xml:space="preserve"> and </w:t>
      </w:r>
      <w:hyperlink r:id="rId15">
        <w:r w:rsidDel="00000000" w:rsidR="00000000" w:rsidRPr="00000000">
          <w:rPr>
            <w:rFonts w:ascii="Arial" w:cs="Arial" w:eastAsia="Arial" w:hAnsi="Arial"/>
            <w:color w:val="0563c1"/>
            <w:sz w:val="20"/>
            <w:szCs w:val="20"/>
            <w:u w:val="single"/>
            <w:rtl w:val="0"/>
          </w:rPr>
          <w:t xml:space="preserve">other drug use</w:t>
        </w:r>
      </w:hyperlink>
      <w:r w:rsidDel="00000000" w:rsidR="00000000" w:rsidRPr="00000000">
        <w:rPr>
          <w:rFonts w:ascii="Arial" w:cs="Arial" w:eastAsia="Arial" w:hAnsi="Arial"/>
          <w:color w:val="000000"/>
          <w:sz w:val="20"/>
          <w:szCs w:val="20"/>
          <w:rtl w:val="0"/>
        </w:rPr>
        <w:t xml:space="preserve"> in accordance with the USPSTF recommendation (Grade B for ages 18+, Grade I for ages 12–17), and provide behavioral counseling interventions, as indicated. </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after="0" w:lineRule="auto"/>
        <w:ind w:left="3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Tobacco use</w:t>
      </w:r>
    </w:p>
    <w:p w:rsidR="00000000" w:rsidDel="00000000" w:rsidP="00000000" w:rsidRDefault="00000000" w:rsidRPr="00000000" w14:paraId="00000037">
      <w:pPr>
        <w:numPr>
          <w:ilvl w:val="1"/>
          <w:numId w:val="1"/>
        </w:numPr>
        <w:pBdr>
          <w:top w:space="0" w:sz="0" w:val="nil"/>
          <w:left w:space="0" w:sz="0" w:val="nil"/>
          <w:bottom w:space="0" w:sz="0" w:val="nil"/>
          <w:right w:space="0" w:sz="0" w:val="nil"/>
          <w:between w:space="0" w:sz="0" w:val="nil"/>
        </w:pBdr>
        <w:spacing w:after="0" w:line="240" w:lineRule="auto"/>
        <w:ind w:left="108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Screen for tobacco use in accordance with USPSTF recommendations:</w:t>
      </w:r>
    </w:p>
    <w:p w:rsidR="00000000" w:rsidDel="00000000" w:rsidP="00000000" w:rsidRDefault="00000000" w:rsidRPr="00000000" w14:paraId="00000038">
      <w:pPr>
        <w:numPr>
          <w:ilvl w:val="2"/>
          <w:numId w:val="1"/>
        </w:numPr>
        <w:pBdr>
          <w:top w:space="0" w:sz="0" w:val="nil"/>
          <w:left w:space="0" w:sz="0" w:val="nil"/>
          <w:bottom w:space="0" w:sz="0" w:val="nil"/>
          <w:right w:space="0" w:sz="0" w:val="nil"/>
          <w:between w:space="0" w:sz="0" w:val="nil"/>
        </w:pBdr>
        <w:spacing w:after="0" w:line="240" w:lineRule="auto"/>
        <w:ind w:left="180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For adults who use tobacco products, provide or refer for tobacco cessation interventions, including brief behavioral counseling sessions (&lt;10 minutes) and pharmacotherapy delivered in primary care settings </w:t>
      </w:r>
      <w:hyperlink r:id="rId16">
        <w:r w:rsidDel="00000000" w:rsidR="00000000" w:rsidRPr="00000000">
          <w:rPr>
            <w:rFonts w:ascii="Arial" w:cs="Arial" w:eastAsia="Arial" w:hAnsi="Arial"/>
            <w:color w:val="0563c1"/>
            <w:sz w:val="20"/>
            <w:szCs w:val="20"/>
            <w:u w:val="single"/>
            <w:rtl w:val="0"/>
          </w:rPr>
          <w:t xml:space="preserve">(Grade A)</w:t>
        </w:r>
      </w:hyperlink>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39">
      <w:pPr>
        <w:numPr>
          <w:ilvl w:val="2"/>
          <w:numId w:val="1"/>
        </w:numPr>
        <w:pBdr>
          <w:top w:space="0" w:sz="0" w:val="nil"/>
          <w:left w:space="0" w:sz="0" w:val="nil"/>
          <w:bottom w:space="0" w:sz="0" w:val="nil"/>
          <w:right w:space="0" w:sz="0" w:val="nil"/>
          <w:between w:space="0" w:sz="0" w:val="nil"/>
        </w:pBdr>
        <w:spacing w:after="0" w:line="240" w:lineRule="auto"/>
        <w:ind w:left="180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For adolescents who don’t use tobacco products, provide intervention to prevent initiation of tobacco use </w:t>
      </w:r>
      <w:hyperlink r:id="rId17">
        <w:r w:rsidDel="00000000" w:rsidR="00000000" w:rsidRPr="00000000">
          <w:rPr>
            <w:rFonts w:ascii="Arial" w:cs="Arial" w:eastAsia="Arial" w:hAnsi="Arial"/>
            <w:color w:val="0563c1"/>
            <w:sz w:val="20"/>
            <w:szCs w:val="20"/>
            <w:u w:val="single"/>
            <w:rtl w:val="0"/>
          </w:rPr>
          <w:t xml:space="preserve">(Grade B)</w:t>
        </w:r>
      </w:hyperlink>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3A">
      <w:pPr>
        <w:numPr>
          <w:ilvl w:val="2"/>
          <w:numId w:val="1"/>
        </w:numPr>
        <w:pBdr>
          <w:top w:space="0" w:sz="0" w:val="nil"/>
          <w:left w:space="0" w:sz="0" w:val="nil"/>
          <w:bottom w:space="0" w:sz="0" w:val="nil"/>
          <w:right w:space="0" w:sz="0" w:val="nil"/>
          <w:between w:space="0" w:sz="0" w:val="nil"/>
        </w:pBdr>
        <w:spacing w:after="0" w:line="240" w:lineRule="auto"/>
        <w:ind w:left="180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For adolescents who use tobacco products, provide brief behavioral counseling sessions (&lt;10 minutes) (Grade I). </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pacing w:after="0" w:lineRule="auto"/>
        <w:ind w:left="3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Immunizations</w:t>
      </w:r>
    </w:p>
    <w:p w:rsidR="00000000" w:rsidDel="00000000" w:rsidP="00000000" w:rsidRDefault="00000000" w:rsidRPr="00000000" w14:paraId="0000003C">
      <w:pPr>
        <w:numPr>
          <w:ilvl w:val="1"/>
          <w:numId w:val="1"/>
        </w:numPr>
        <w:pBdr>
          <w:top w:space="0" w:sz="0" w:val="nil"/>
          <w:left w:space="0" w:sz="0" w:val="nil"/>
          <w:bottom w:space="0" w:sz="0" w:val="nil"/>
          <w:right w:space="0" w:sz="0" w:val="nil"/>
          <w:between w:space="0" w:sz="0" w:val="nil"/>
        </w:pBdr>
        <w:spacing w:after="0" w:line="240" w:lineRule="auto"/>
        <w:ind w:left="108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Screen for immunizations in accordance with the recommendations of the </w:t>
      </w:r>
      <w:hyperlink r:id="rId18">
        <w:r w:rsidDel="00000000" w:rsidR="00000000" w:rsidRPr="00000000">
          <w:rPr>
            <w:rFonts w:ascii="Arial" w:cs="Arial" w:eastAsia="Arial" w:hAnsi="Arial"/>
            <w:color w:val="0563c1"/>
            <w:sz w:val="20"/>
            <w:szCs w:val="20"/>
            <w:u w:val="single"/>
            <w:rtl w:val="0"/>
          </w:rPr>
          <w:t xml:space="preserve">Centers for Disease Control and Prevention’s (CDC) Advisory Committee on Immunization Practices</w:t>
        </w:r>
      </w:hyperlink>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3D">
      <w:pPr>
        <w:numPr>
          <w:ilvl w:val="2"/>
          <w:numId w:val="1"/>
        </w:numPr>
        <w:pBdr>
          <w:top w:space="0" w:sz="0" w:val="nil"/>
          <w:left w:space="0" w:sz="0" w:val="nil"/>
          <w:bottom w:space="0" w:sz="0" w:val="nil"/>
          <w:right w:space="0" w:sz="0" w:val="nil"/>
          <w:between w:space="0" w:sz="0" w:val="nil"/>
        </w:pBdr>
        <w:spacing w:after="0" w:line="240" w:lineRule="auto"/>
        <w:ind w:left="180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For all clients, screen for age-appropriate vaccinations, such as influenza; tetanus–diphtheria–pertussis (Tdap); measles, mumps, and rubella (MMR); varicella; pneumococcal; and meningococcal. </w:t>
      </w:r>
    </w:p>
    <w:p w:rsidR="00000000" w:rsidDel="00000000" w:rsidP="00000000" w:rsidRDefault="00000000" w:rsidRPr="00000000" w14:paraId="0000003E">
      <w:pPr>
        <w:numPr>
          <w:ilvl w:val="2"/>
          <w:numId w:val="1"/>
        </w:numPr>
        <w:pBdr>
          <w:top w:space="0" w:sz="0" w:val="nil"/>
          <w:left w:space="0" w:sz="0" w:val="nil"/>
          <w:bottom w:space="0" w:sz="0" w:val="nil"/>
          <w:right w:space="0" w:sz="0" w:val="nil"/>
          <w:between w:space="0" w:sz="0" w:val="nil"/>
        </w:pBdr>
        <w:spacing w:after="0" w:line="240" w:lineRule="auto"/>
        <w:ind w:left="180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For females who are uncertain about MMR immunization, offer a rubella titer on site or by referral.</w:t>
      </w:r>
    </w:p>
    <w:p w:rsidR="00000000" w:rsidDel="00000000" w:rsidP="00000000" w:rsidRDefault="00000000" w:rsidRPr="00000000" w14:paraId="0000003F">
      <w:pPr>
        <w:numPr>
          <w:ilvl w:val="1"/>
          <w:numId w:val="1"/>
        </w:numPr>
        <w:pBdr>
          <w:top w:space="0" w:sz="0" w:val="nil"/>
          <w:left w:space="0" w:sz="0" w:val="nil"/>
          <w:bottom w:space="0" w:sz="0" w:val="nil"/>
          <w:right w:space="0" w:sz="0" w:val="nil"/>
          <w:between w:space="0" w:sz="0" w:val="nil"/>
        </w:pBdr>
        <w:spacing w:after="0" w:line="240" w:lineRule="auto"/>
        <w:ind w:left="108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Offer vaccination, as indicated, and/or provide referrals to community providers for immunization. </w:t>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spacing w:after="0" w:lineRule="auto"/>
        <w:ind w:left="3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Depression</w:t>
      </w:r>
    </w:p>
    <w:p w:rsidR="00000000" w:rsidDel="00000000" w:rsidP="00000000" w:rsidRDefault="00000000" w:rsidRPr="00000000" w14:paraId="00000041">
      <w:pPr>
        <w:numPr>
          <w:ilvl w:val="1"/>
          <w:numId w:val="1"/>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Screen all </w:t>
      </w:r>
      <w:hyperlink r:id="rId19">
        <w:r w:rsidDel="00000000" w:rsidR="00000000" w:rsidRPr="00000000">
          <w:rPr>
            <w:rFonts w:ascii="Arial" w:cs="Arial" w:eastAsia="Arial" w:hAnsi="Arial"/>
            <w:color w:val="0563c1"/>
            <w:sz w:val="20"/>
            <w:szCs w:val="20"/>
            <w:u w:val="single"/>
            <w:rtl w:val="0"/>
          </w:rPr>
          <w:t xml:space="preserve">adult</w:t>
        </w:r>
      </w:hyperlink>
      <w:r w:rsidDel="00000000" w:rsidR="00000000" w:rsidRPr="00000000">
        <w:rPr>
          <w:rFonts w:ascii="Arial" w:cs="Arial" w:eastAsia="Arial" w:hAnsi="Arial"/>
          <w:color w:val="000000"/>
          <w:sz w:val="20"/>
          <w:szCs w:val="20"/>
          <w:rtl w:val="0"/>
        </w:rPr>
        <w:t xml:space="preserve"> and </w:t>
      </w:r>
      <w:hyperlink r:id="rId20">
        <w:r w:rsidDel="00000000" w:rsidR="00000000" w:rsidRPr="00000000">
          <w:rPr>
            <w:rFonts w:ascii="Arial" w:cs="Arial" w:eastAsia="Arial" w:hAnsi="Arial"/>
            <w:color w:val="0563c1"/>
            <w:sz w:val="20"/>
            <w:szCs w:val="20"/>
            <w:u w:val="single"/>
            <w:rtl w:val="0"/>
          </w:rPr>
          <w:t xml:space="preserve">adolescent</w:t>
        </w:r>
      </w:hyperlink>
      <w:r w:rsidDel="00000000" w:rsidR="00000000" w:rsidRPr="00000000">
        <w:rPr>
          <w:rFonts w:ascii="Arial" w:cs="Arial" w:eastAsia="Arial" w:hAnsi="Arial"/>
          <w:color w:val="000000"/>
          <w:sz w:val="20"/>
          <w:szCs w:val="20"/>
          <w:rtl w:val="0"/>
        </w:rPr>
        <w:t xml:space="preserve"> clients for depression using a validated tool [e.g., Patient Health Questionnaire (PHQ-9) or Edinburgh Postpartum Depression Screening (EPDS)], document findings, and refer for behavioral therapy as appropriate (Grade B).</w:t>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spacing w:after="0" w:lineRule="auto"/>
        <w:ind w:left="3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Obesity</w:t>
      </w:r>
    </w:p>
    <w:p w:rsidR="00000000" w:rsidDel="00000000" w:rsidP="00000000" w:rsidRDefault="00000000" w:rsidRPr="00000000" w14:paraId="00000043">
      <w:pPr>
        <w:numPr>
          <w:ilvl w:val="1"/>
          <w:numId w:val="1"/>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Screen all </w:t>
      </w:r>
      <w:hyperlink r:id="rId21">
        <w:r w:rsidDel="00000000" w:rsidR="00000000" w:rsidRPr="00000000">
          <w:rPr>
            <w:rFonts w:ascii="Arial" w:cs="Arial" w:eastAsia="Arial" w:hAnsi="Arial"/>
            <w:color w:val="0563c1"/>
            <w:sz w:val="20"/>
            <w:szCs w:val="20"/>
            <w:u w:val="single"/>
            <w:rtl w:val="0"/>
          </w:rPr>
          <w:t xml:space="preserve">adult</w:t>
        </w:r>
      </w:hyperlink>
      <w:r w:rsidDel="00000000" w:rsidR="00000000" w:rsidRPr="00000000">
        <w:rPr>
          <w:rFonts w:ascii="Arial" w:cs="Arial" w:eastAsia="Arial" w:hAnsi="Arial"/>
          <w:color w:val="000000"/>
          <w:sz w:val="20"/>
          <w:szCs w:val="20"/>
          <w:rtl w:val="0"/>
        </w:rPr>
        <w:t xml:space="preserve"> and </w:t>
      </w:r>
      <w:hyperlink r:id="rId22">
        <w:r w:rsidDel="00000000" w:rsidR="00000000" w:rsidRPr="00000000">
          <w:rPr>
            <w:rFonts w:ascii="Arial" w:cs="Arial" w:eastAsia="Arial" w:hAnsi="Arial"/>
            <w:color w:val="1155cc"/>
            <w:sz w:val="20"/>
            <w:szCs w:val="20"/>
            <w:u w:val="single"/>
            <w:rtl w:val="0"/>
          </w:rPr>
          <w:t xml:space="preserve">adolescent</w:t>
        </w:r>
      </w:hyperlink>
      <w:r w:rsidDel="00000000" w:rsidR="00000000" w:rsidRPr="00000000">
        <w:rPr>
          <w:rFonts w:ascii="Arial" w:cs="Arial" w:eastAsia="Arial" w:hAnsi="Arial"/>
          <w:sz w:val="20"/>
          <w:szCs w:val="20"/>
          <w:rtl w:val="0"/>
        </w:rPr>
        <w:t xml:space="preserve"> clients</w:t>
      </w:r>
      <w:r w:rsidDel="00000000" w:rsidR="00000000" w:rsidRPr="00000000">
        <w:rPr>
          <w:rFonts w:ascii="Arial" w:cs="Arial" w:eastAsia="Arial" w:hAnsi="Arial"/>
          <w:color w:val="000000"/>
          <w:sz w:val="20"/>
          <w:szCs w:val="20"/>
          <w:rtl w:val="0"/>
        </w:rPr>
        <w:t xml:space="preserve"> for obesity in accordance with the USPSTF recommendation (Grade B).</w:t>
      </w:r>
    </w:p>
    <w:p w:rsidR="00000000" w:rsidDel="00000000" w:rsidP="00000000" w:rsidRDefault="00000000" w:rsidRPr="00000000" w14:paraId="00000044">
      <w:pPr>
        <w:numPr>
          <w:ilvl w:val="1"/>
          <w:numId w:val="1"/>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For adults with obesity, provide or refer for intensive counseling and behavioral interventions to promote healthy weight (Grade B). </w:t>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spacing w:after="0" w:lineRule="auto"/>
        <w:ind w:left="3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Hypertension</w:t>
      </w:r>
    </w:p>
    <w:p w:rsidR="00000000" w:rsidDel="00000000" w:rsidP="00000000" w:rsidRDefault="00000000" w:rsidRPr="00000000" w14:paraId="00000046">
      <w:pPr>
        <w:numPr>
          <w:ilvl w:val="1"/>
          <w:numId w:val="1"/>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Screen all clients routinely for hypertension in accordance with the USPSTF recommendation </w:t>
      </w:r>
      <w:hyperlink r:id="rId23">
        <w:r w:rsidDel="00000000" w:rsidR="00000000" w:rsidRPr="00000000">
          <w:rPr>
            <w:rFonts w:ascii="Arial" w:cs="Arial" w:eastAsia="Arial" w:hAnsi="Arial"/>
            <w:color w:val="0563c1"/>
            <w:sz w:val="20"/>
            <w:szCs w:val="20"/>
            <w:u w:val="single"/>
            <w:rtl w:val="0"/>
          </w:rPr>
          <w:t xml:space="preserve">(Grade A)</w:t>
        </w:r>
      </w:hyperlink>
      <w:r w:rsidDel="00000000" w:rsidR="00000000" w:rsidRPr="00000000">
        <w:rPr>
          <w:rFonts w:ascii="Arial" w:cs="Arial" w:eastAsia="Arial" w:hAnsi="Arial"/>
          <w:color w:val="000000"/>
          <w:sz w:val="20"/>
          <w:szCs w:val="20"/>
          <w:rtl w:val="0"/>
        </w:rPr>
        <w:t xml:space="preserve"> and with American College of Cardiology/American Heart Association guidelines:  </w:t>
      </w:r>
    </w:p>
    <w:p w:rsidR="00000000" w:rsidDel="00000000" w:rsidP="00000000" w:rsidRDefault="00000000" w:rsidRPr="00000000" w14:paraId="00000047">
      <w:pPr>
        <w:numPr>
          <w:ilvl w:val="2"/>
          <w:numId w:val="1"/>
        </w:numPr>
        <w:pBdr>
          <w:top w:space="0" w:sz="0" w:val="nil"/>
          <w:left w:space="0" w:sz="0" w:val="nil"/>
          <w:bottom w:space="0" w:sz="0" w:val="nil"/>
          <w:right w:space="0" w:sz="0" w:val="nil"/>
          <w:between w:space="0" w:sz="0" w:val="nil"/>
        </w:pBdr>
        <w:spacing w:after="0" w:lineRule="auto"/>
        <w:ind w:left="180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Screen clients with blood pressure less than 120/80 every 1–2 years. </w:t>
      </w:r>
    </w:p>
    <w:p w:rsidR="00000000" w:rsidDel="00000000" w:rsidP="00000000" w:rsidRDefault="00000000" w:rsidRPr="00000000" w14:paraId="00000048">
      <w:pPr>
        <w:numPr>
          <w:ilvl w:val="2"/>
          <w:numId w:val="1"/>
        </w:numPr>
        <w:pBdr>
          <w:top w:space="0" w:sz="0" w:val="nil"/>
          <w:left w:space="0" w:sz="0" w:val="nil"/>
          <w:bottom w:space="0" w:sz="0" w:val="nil"/>
          <w:right w:space="0" w:sz="0" w:val="nil"/>
          <w:between w:space="0" w:sz="0" w:val="nil"/>
        </w:pBdr>
        <w:spacing w:after="0" w:lineRule="auto"/>
        <w:ind w:left="180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Screen clients with systolic blood pressure greater than or equal to 120 and/or diastolic blood pressure greater than or equal to 80 every year.</w:t>
      </w:r>
    </w:p>
    <w:p w:rsidR="00000000" w:rsidDel="00000000" w:rsidP="00000000" w:rsidRDefault="00000000" w:rsidRPr="00000000" w14:paraId="00000049">
      <w:pPr>
        <w:numPr>
          <w:ilvl w:val="0"/>
          <w:numId w:val="1"/>
        </w:numPr>
        <w:pBdr>
          <w:top w:space="0" w:sz="0" w:val="nil"/>
          <w:left w:space="0" w:sz="0" w:val="nil"/>
          <w:bottom w:space="0" w:sz="0" w:val="nil"/>
          <w:right w:space="0" w:sz="0" w:val="nil"/>
          <w:between w:space="0" w:sz="0" w:val="nil"/>
        </w:pBdr>
        <w:spacing w:after="0" w:lineRule="auto"/>
        <w:ind w:left="3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Diabetes</w:t>
      </w:r>
    </w:p>
    <w:p w:rsidR="00000000" w:rsidDel="00000000" w:rsidP="00000000" w:rsidRDefault="00000000" w:rsidRPr="00000000" w14:paraId="0000004A">
      <w:pPr>
        <w:numPr>
          <w:ilvl w:val="1"/>
          <w:numId w:val="1"/>
        </w:numPr>
        <w:pBdr>
          <w:top w:space="0" w:sz="0" w:val="nil"/>
          <w:left w:space="0" w:sz="0" w:val="nil"/>
          <w:bottom w:space="0" w:sz="0" w:val="nil"/>
          <w:right w:space="0" w:sz="0" w:val="nil"/>
          <w:between w:space="0" w:sz="0" w:val="nil"/>
        </w:pBdr>
        <w:spacing w:after="0" w:line="276" w:lineRule="auto"/>
        <w:ind w:left="108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Screen for diabetes in accordance with the USPSTF recommendation </w:t>
      </w:r>
      <w:hyperlink r:id="rId24">
        <w:r w:rsidDel="00000000" w:rsidR="00000000" w:rsidRPr="00000000">
          <w:rPr>
            <w:rFonts w:ascii="Arial" w:cs="Arial" w:eastAsia="Arial" w:hAnsi="Arial"/>
            <w:color w:val="0563c1"/>
            <w:sz w:val="20"/>
            <w:szCs w:val="20"/>
            <w:u w:val="single"/>
            <w:rtl w:val="0"/>
          </w:rPr>
          <w:t xml:space="preserve">(Grade B)</w:t>
        </w:r>
      </w:hyperlink>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4B">
      <w:pPr>
        <w:numPr>
          <w:ilvl w:val="2"/>
          <w:numId w:val="1"/>
        </w:numPr>
        <w:pBdr>
          <w:top w:space="0" w:sz="0" w:val="nil"/>
          <w:left w:space="0" w:sz="0" w:val="nil"/>
          <w:bottom w:space="0" w:sz="0" w:val="nil"/>
          <w:right w:space="0" w:sz="0" w:val="nil"/>
          <w:between w:space="0" w:sz="0" w:val="nil"/>
        </w:pBdr>
        <w:spacing w:after="200" w:line="276" w:lineRule="auto"/>
        <w:ind w:left="180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Screen for diabetes in adults aged 40–70 years who are overweight or obese, and refer clients with abnormal glucose levels to primary care providers for further evaluation. </w:t>
      </w:r>
    </w:p>
    <w:p w:rsidR="00000000" w:rsidDel="00000000" w:rsidP="00000000" w:rsidRDefault="00000000" w:rsidRPr="00000000" w14:paraId="0000004C">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Procedure: </w:t>
      </w:r>
      <w:r w:rsidDel="00000000" w:rsidR="00000000" w:rsidRPr="00000000">
        <w:rPr>
          <w:rFonts w:ascii="Arial" w:cs="Arial" w:eastAsia="Arial" w:hAnsi="Arial"/>
          <w:i w:val="1"/>
          <w:iCs w:val="1"/>
          <w:sz w:val="20"/>
          <w:szCs w:val="20"/>
          <w:rtl w:val="0"/>
        </w:rPr>
        <w:t xml:space="preserve">[Agency may want to include the following]</w:t>
      </w:r>
      <w:r w:rsidDel="00000000" w:rsidR="00000000" w:rsidRPr="00000000">
        <w:rPr>
          <w:rtl w:val="0"/>
        </w:rPr>
      </w:r>
    </w:p>
    <w:p w:rsidR="00000000" w:rsidDel="00000000" w:rsidP="00000000" w:rsidRDefault="00000000" w:rsidRPr="00000000" w14:paraId="0000004D">
      <w:pPr>
        <w:numPr>
          <w:ilvl w:val="0"/>
          <w:numId w:val="1"/>
        </w:numPr>
        <w:spacing w:after="0" w:line="240" w:lineRule="auto"/>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Location of clinical protocols that document the services referenced in this policy.</w:t>
      </w:r>
    </w:p>
    <w:p w:rsidR="00000000" w:rsidDel="00000000" w:rsidP="00000000" w:rsidRDefault="00000000" w:rsidRPr="00000000" w14:paraId="0000004E">
      <w:pPr>
        <w:numPr>
          <w:ilvl w:val="0"/>
          <w:numId w:val="1"/>
        </w:numPr>
        <w:spacing w:after="0" w:line="240" w:lineRule="auto"/>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Descriptions of collaborative agreements with relevant referral agencies, including: emergency care providers, HIV/AIDS care and treatment providers, infertility specialists, primary care providers, and chronic disease management providers.</w:t>
      </w:r>
    </w:p>
    <w:p w:rsidR="00000000" w:rsidDel="00000000" w:rsidP="00000000" w:rsidRDefault="00000000" w:rsidRPr="00000000" w14:paraId="0000004F">
      <w:pPr>
        <w:numPr>
          <w:ilvl w:val="0"/>
          <w:numId w:val="1"/>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How and where staff are notified about this policy (e.g., statement signed by employee, staff circulars, training records, orientation checklist, etc.) at the grantee, subrecipient, and service site levels.</w:t>
      </w:r>
    </w:p>
    <w:p w:rsidR="00000000" w:rsidDel="00000000" w:rsidP="00000000" w:rsidRDefault="00000000" w:rsidRPr="00000000" w14:paraId="00000050">
      <w:pPr>
        <w:numPr>
          <w:ilvl w:val="0"/>
          <w:numId w:val="1"/>
        </w:numPr>
        <w:spacing w:after="0" w:line="240" w:lineRule="auto"/>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Grantee’s process for monitoring subrecipients and service sites to ensure compliance with this requirement. </w:t>
      </w:r>
    </w:p>
    <w:p w:rsidR="00000000" w:rsidDel="00000000" w:rsidP="00000000" w:rsidRDefault="00000000" w:rsidRPr="00000000" w14:paraId="00000051">
      <w:pPr>
        <w:numPr>
          <w:ilvl w:val="0"/>
          <w:numId w:val="1"/>
        </w:numPr>
        <w:spacing w:after="0" w:line="240" w:lineRule="auto"/>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How staff will be trained and updated on changes to this policy.</w:t>
      </w:r>
    </w:p>
    <w:p w:rsidR="00000000" w:rsidDel="00000000" w:rsidP="00000000" w:rsidRDefault="00000000" w:rsidRPr="00000000" w14:paraId="00000052">
      <w:pPr>
        <w:numPr>
          <w:ilvl w:val="0"/>
          <w:numId w:val="1"/>
        </w:numPr>
        <w:spacing w:after="0" w:line="240" w:lineRule="auto"/>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How staff can access this policy (location of paper/electronic version(s)).</w:t>
      </w:r>
    </w:p>
    <w:p w:rsidR="00000000" w:rsidDel="00000000" w:rsidP="00000000" w:rsidRDefault="00000000" w:rsidRPr="00000000" w14:paraId="0000005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4">
      <w:pPr>
        <w:rPr>
          <w:rFonts w:ascii="Arial" w:cs="Arial" w:eastAsia="Arial" w:hAnsi="Arial"/>
          <w:sz w:val="20"/>
          <w:szCs w:val="20"/>
        </w:rPr>
      </w:pPr>
      <w:r w:rsidDel="00000000" w:rsidR="00000000" w:rsidRPr="00000000">
        <w:rPr>
          <w:rFonts w:ascii="Arial" w:cs="Arial" w:eastAsia="Arial" w:hAnsi="Arial"/>
          <w:sz w:val="20"/>
          <w:szCs w:val="20"/>
          <w:rtl w:val="0"/>
        </w:rPr>
        <w:t xml:space="preserve">Reviewed:  </w:t>
      </w:r>
      <w:r w:rsidDel="00000000" w:rsidR="00000000" w:rsidRPr="00000000">
        <w:rPr>
          <w:rFonts w:ascii="Arial" w:cs="Arial" w:eastAsia="Arial" w:hAnsi="Arial"/>
          <w:i w:val="1"/>
          <w:iCs w:val="1"/>
          <w:sz w:val="20"/>
          <w:szCs w:val="20"/>
          <w:rtl w:val="0"/>
        </w:rPr>
        <w:t xml:space="preserve">DATE</w:t>
      </w:r>
      <w:r w:rsidDel="00000000" w:rsidR="00000000" w:rsidRPr="00000000">
        <w:rPr>
          <w:rtl w:val="0"/>
        </w:rPr>
      </w:r>
    </w:p>
    <w:p w:rsidR="00000000" w:rsidDel="00000000" w:rsidP="00000000" w:rsidRDefault="00000000" w:rsidRPr="00000000" w14:paraId="00000055">
      <w:pPr>
        <w:rPr>
          <w:rFonts w:ascii="Arial" w:cs="Arial" w:eastAsia="Arial" w:hAnsi="Arial"/>
          <w:sz w:val="20"/>
          <w:szCs w:val="20"/>
        </w:rPr>
      </w:pPr>
      <w:r w:rsidDel="00000000" w:rsidR="00000000" w:rsidRPr="00000000">
        <w:rPr>
          <w:rFonts w:ascii="Arial" w:cs="Arial" w:eastAsia="Arial" w:hAnsi="Arial"/>
          <w:sz w:val="20"/>
          <w:szCs w:val="20"/>
          <w:rtl w:val="0"/>
        </w:rPr>
        <w:t xml:space="preserve">Revised:     </w:t>
      </w:r>
      <w:r w:rsidDel="00000000" w:rsidR="00000000" w:rsidRPr="00000000">
        <w:rPr>
          <w:rFonts w:ascii="Arial" w:cs="Arial" w:eastAsia="Arial" w:hAnsi="Arial"/>
          <w:i w:val="1"/>
          <w:iCs w:val="1"/>
          <w:sz w:val="20"/>
          <w:szCs w:val="20"/>
          <w:rtl w:val="0"/>
        </w:rPr>
        <w:t xml:space="preserve">DATE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sz w:val="20"/>
        <w:szCs w:val="20"/>
        <w:vertAlign w:val="baseline"/>
      </w:rPr>
    </w:lvl>
    <w:lvl w:ilvl="1">
      <w:start w:val="1"/>
      <w:numFmt w:val="bullet"/>
      <w:lvlText w:val="o"/>
      <w:lvlJc w:val="left"/>
      <w:pPr>
        <w:ind w:left="1080" w:hanging="360"/>
      </w:pPr>
      <w:rPr>
        <w:rFonts w:ascii="Courier New" w:cs="Courier New" w:eastAsia="Courier New" w:hAnsi="Courier New"/>
        <w:sz w:val="20"/>
        <w:szCs w:val="20"/>
        <w:vertAlign w:val="baseline"/>
      </w:rPr>
    </w:lvl>
    <w:lvl w:ilvl="2">
      <w:start w:val="1"/>
      <w:numFmt w:val="bullet"/>
      <w:lvlText w:val="▪"/>
      <w:lvlJc w:val="left"/>
      <w:pPr>
        <w:ind w:left="1800" w:hanging="360"/>
      </w:pPr>
      <w:rPr>
        <w:rFonts w:ascii="Noto Sans Symbols" w:cs="Noto Sans Symbols" w:eastAsia="Noto Sans Symbols" w:hAnsi="Noto Sans Symbols"/>
        <w:sz w:val="20"/>
        <w:szCs w:val="20"/>
        <w:vertAlign w:val="baseline"/>
      </w:rPr>
    </w:lvl>
    <w:lvl w:ilvl="3">
      <w:start w:val="1"/>
      <w:numFmt w:val="bullet"/>
      <w:lvlText w:val="▪"/>
      <w:lvlJc w:val="left"/>
      <w:pPr>
        <w:ind w:left="2520" w:hanging="360"/>
      </w:pPr>
      <w:rPr>
        <w:rFonts w:ascii="Noto Sans Symbols" w:cs="Noto Sans Symbols" w:eastAsia="Noto Sans Symbols" w:hAnsi="Noto Sans Symbols"/>
        <w:sz w:val="20"/>
        <w:szCs w:val="20"/>
        <w:vertAlign w:val="baseline"/>
      </w:rPr>
    </w:lvl>
    <w:lvl w:ilvl="4">
      <w:start w:val="1"/>
      <w:numFmt w:val="bullet"/>
      <w:lvlText w:val="▪"/>
      <w:lvlJc w:val="left"/>
      <w:pPr>
        <w:ind w:left="3240" w:hanging="360"/>
      </w:pPr>
      <w:rPr>
        <w:rFonts w:ascii="Noto Sans Symbols" w:cs="Noto Sans Symbols" w:eastAsia="Noto Sans Symbols" w:hAnsi="Noto Sans Symbols"/>
        <w:sz w:val="20"/>
        <w:szCs w:val="20"/>
        <w:vertAlign w:val="baseline"/>
      </w:rPr>
    </w:lvl>
    <w:lvl w:ilvl="5">
      <w:start w:val="1"/>
      <w:numFmt w:val="bullet"/>
      <w:lvlText w:val="▪"/>
      <w:lvlJc w:val="left"/>
      <w:pPr>
        <w:ind w:left="3960" w:hanging="360"/>
      </w:pPr>
      <w:rPr>
        <w:rFonts w:ascii="Noto Sans Symbols" w:cs="Noto Sans Symbols" w:eastAsia="Noto Sans Symbols" w:hAnsi="Noto Sans Symbols"/>
        <w:sz w:val="20"/>
        <w:szCs w:val="20"/>
        <w:vertAlign w:val="baseline"/>
      </w:rPr>
    </w:lvl>
    <w:lvl w:ilvl="6">
      <w:start w:val="1"/>
      <w:numFmt w:val="bullet"/>
      <w:lvlText w:val="▪"/>
      <w:lvlJc w:val="left"/>
      <w:pPr>
        <w:ind w:left="4680" w:hanging="360"/>
      </w:pPr>
      <w:rPr>
        <w:rFonts w:ascii="Noto Sans Symbols" w:cs="Noto Sans Symbols" w:eastAsia="Noto Sans Symbols" w:hAnsi="Noto Sans Symbols"/>
        <w:sz w:val="20"/>
        <w:szCs w:val="20"/>
        <w:vertAlign w:val="baseline"/>
      </w:rPr>
    </w:lvl>
    <w:lvl w:ilvl="7">
      <w:start w:val="1"/>
      <w:numFmt w:val="bullet"/>
      <w:lvlText w:val="▪"/>
      <w:lvlJc w:val="left"/>
      <w:pPr>
        <w:ind w:left="5400" w:hanging="360"/>
      </w:pPr>
      <w:rPr>
        <w:rFonts w:ascii="Noto Sans Symbols" w:cs="Noto Sans Symbols" w:eastAsia="Noto Sans Symbols" w:hAnsi="Noto Sans Symbols"/>
        <w:sz w:val="20"/>
        <w:szCs w:val="20"/>
        <w:vertAlign w:val="baseline"/>
      </w:rPr>
    </w:lvl>
    <w:lvl w:ilvl="8">
      <w:start w:val="1"/>
      <w:numFmt w:val="bullet"/>
      <w:lvlText w:val="▪"/>
      <w:lvlJc w:val="left"/>
      <w:pPr>
        <w:ind w:left="6120" w:hanging="360"/>
      </w:pPr>
      <w:rPr>
        <w:rFonts w:ascii="Noto Sans Symbols" w:cs="Noto Sans Symbols" w:eastAsia="Noto Sans Symbols" w:hAnsi="Noto Sans Symbols"/>
        <w:sz w:val="20"/>
        <w:szCs w:val="20"/>
        <w:vertAlign w:val="baseli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f5496"/>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4870B0"/>
    <w:rPr>
      <w:color w:val="0563c1" w:themeColor="hyperlink"/>
      <w:u w:val="single"/>
    </w:rPr>
  </w:style>
  <w:style w:type="character" w:styleId="UnresolvedMention1" w:customStyle="1">
    <w:name w:val="Unresolved Mention1"/>
    <w:basedOn w:val="DefaultParagraphFont"/>
    <w:uiPriority w:val="99"/>
    <w:semiHidden w:val="1"/>
    <w:unhideWhenUsed w:val="1"/>
    <w:rsid w:val="004870B0"/>
    <w:rPr>
      <w:color w:val="605e5c"/>
      <w:shd w:color="auto" w:fill="e1dfdd" w:val="clear"/>
    </w:rPr>
  </w:style>
  <w:style w:type="character" w:styleId="FollowedHyperlink">
    <w:name w:val="FollowedHyperlink"/>
    <w:basedOn w:val="DefaultParagraphFont"/>
    <w:uiPriority w:val="99"/>
    <w:semiHidden w:val="1"/>
    <w:unhideWhenUsed w:val="1"/>
    <w:rsid w:val="005172EF"/>
    <w:rPr>
      <w:color w:val="954f72" w:themeColor="followedHyperlink"/>
      <w:u w:val="single"/>
    </w:rPr>
  </w:style>
  <w:style w:type="paragraph" w:styleId="ListParagraph">
    <w:name w:val="List Paragraph"/>
    <w:basedOn w:val="Normal"/>
    <w:uiPriority w:val="34"/>
    <w:qFormat w:val="1"/>
    <w:rsid w:val="00154322"/>
    <w:pPr>
      <w:ind w:left="720"/>
      <w:contextualSpacing w:val="1"/>
    </w:pPr>
  </w:style>
  <w:style w:type="character" w:styleId="Heading5Char" w:customStyle="1">
    <w:name w:val="Heading 5 Char"/>
    <w:basedOn w:val="DefaultParagraphFont"/>
    <w:link w:val="Heading5"/>
    <w:uiPriority w:val="9"/>
    <w:semiHidden w:val="1"/>
    <w:rsid w:val="0057375B"/>
    <w:rPr>
      <w:rFonts w:asciiTheme="majorHAnsi" w:cstheme="majorBidi" w:eastAsiaTheme="majorEastAsia" w:hAnsiTheme="majorHAnsi"/>
      <w:color w:val="2f5496" w:themeColor="accent1" w:themeShade="0000BF"/>
    </w:rPr>
  </w:style>
  <w:style w:type="character" w:styleId="PlaceholderText">
    <w:name w:val="Placeholder Text"/>
    <w:basedOn w:val="DefaultParagraphFont"/>
    <w:uiPriority w:val="99"/>
    <w:semiHidden w:val="1"/>
    <w:rsid w:val="00FB39B1"/>
    <w:rPr>
      <w:color w:val="80808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sid w:val="0084577C"/>
    <w:rPr>
      <w:b w:val="1"/>
      <w:bCs w:val="1"/>
    </w:rPr>
  </w:style>
  <w:style w:type="character" w:styleId="CommentSubjectChar" w:customStyle="1">
    <w:name w:val="Comment Subject Char"/>
    <w:basedOn w:val="CommentTextChar"/>
    <w:link w:val="CommentSubject"/>
    <w:uiPriority w:val="99"/>
    <w:semiHidden w:val="1"/>
    <w:rsid w:val="0084577C"/>
    <w:rPr>
      <w:b w:val="1"/>
      <w:bCs w:val="1"/>
      <w:sz w:val="20"/>
      <w:szCs w:val="20"/>
    </w:rPr>
  </w:style>
  <w:style w:type="paragraph" w:styleId="BalloonText">
    <w:name w:val="Balloon Text"/>
    <w:basedOn w:val="Normal"/>
    <w:link w:val="BalloonTextChar"/>
    <w:uiPriority w:val="99"/>
    <w:semiHidden w:val="1"/>
    <w:unhideWhenUsed w:val="1"/>
    <w:rsid w:val="0084577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4577C"/>
    <w:rPr>
      <w:rFonts w:ascii="Segoe UI" w:cs="Segoe UI" w:hAnsi="Segoe UI"/>
      <w:sz w:val="18"/>
      <w:szCs w:val="18"/>
    </w:rPr>
  </w:style>
  <w:style w:type="paragraph" w:styleId="NormalWeb">
    <w:name w:val="Normal (Web)"/>
    <w:basedOn w:val="Normal"/>
    <w:uiPriority w:val="99"/>
    <w:unhideWhenUsed w:val="1"/>
    <w:rsid w:val="00A47A4A"/>
    <w:pPr>
      <w:spacing w:after="100" w:afterAutospacing="1" w:before="100" w:beforeAutospacing="1" w:line="240" w:lineRule="auto"/>
    </w:pPr>
    <w:rPr>
      <w:rFonts w:ascii="Times New Roman" w:cs="Times New Roman" w:eastAsia="Times New Roman" w:hAnsi="Times New Roman"/>
      <w:sz w:val="24"/>
      <w:szCs w:val="24"/>
    </w:rPr>
  </w:style>
  <w:style w:type="paragraph" w:styleId="Revision">
    <w:name w:val="Revision"/>
    <w:hidden w:val="1"/>
    <w:uiPriority w:val="99"/>
    <w:semiHidden w:val="1"/>
    <w:rsid w:val="0078415E"/>
    <w:pPr>
      <w:spacing w:after="0" w:line="240" w:lineRule="auto"/>
    </w:pPr>
  </w:style>
  <w:style w:type="table" w:styleId="a" w:customStyle="1">
    <w:basedOn w:val="TableNormal"/>
    <w:tblPr>
      <w:tblStyleRowBandSize w:val="1"/>
      <w:tblStyleColBandSize w:val="1"/>
      <w:tblCellMar>
        <w:left w:w="115.0" w:type="dxa"/>
        <w:right w:w="115.0" w:type="dxa"/>
      </w:tblCellMar>
    </w:tblPr>
  </w:style>
  <w:style w:type="paragraph" w:styleId="FootnoteText">
    <w:name w:val="footnote text"/>
    <w:basedOn w:val="Normal"/>
    <w:link w:val="FootnoteTextChar"/>
    <w:uiPriority w:val="99"/>
    <w:semiHidden w:val="1"/>
    <w:unhideWhenUsed w:val="1"/>
    <w:rsid w:val="00543599"/>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543599"/>
    <w:rPr>
      <w:sz w:val="20"/>
      <w:szCs w:val="20"/>
    </w:rPr>
  </w:style>
  <w:style w:type="character" w:styleId="FootnoteReference">
    <w:name w:val="footnote reference"/>
    <w:basedOn w:val="DefaultParagraphFont"/>
    <w:uiPriority w:val="99"/>
    <w:semiHidden w:val="1"/>
    <w:unhideWhenUsed w:val="1"/>
    <w:rsid w:val="00543599"/>
    <w:rPr>
      <w:vertAlign w:val="superscript"/>
    </w:rPr>
  </w:style>
  <w:style w:type="character" w:styleId="UnresolvedMention2" w:customStyle="1">
    <w:name w:val="Unresolved Mention2"/>
    <w:basedOn w:val="DefaultParagraphFont"/>
    <w:uiPriority w:val="99"/>
    <w:semiHidden w:val="1"/>
    <w:unhideWhenUsed w:val="1"/>
    <w:rsid w:val="00543599"/>
    <w:rPr>
      <w:color w:val="605e5c"/>
      <w:shd w:color="auto" w:fill="e1dfdd" w:val="clear"/>
    </w:rPr>
  </w:style>
  <w:style w:type="character" w:styleId="UnresolvedMention3" w:customStyle="1">
    <w:name w:val="Unresolved Mention3"/>
    <w:basedOn w:val="DefaultParagraphFont"/>
    <w:uiPriority w:val="99"/>
    <w:semiHidden w:val="1"/>
    <w:unhideWhenUsed w:val="1"/>
    <w:rsid w:val="002A0B02"/>
    <w:rPr>
      <w:color w:val="605e5c"/>
      <w:shd w:color="auto" w:fill="e1dfdd" w:val="clear"/>
    </w:rPr>
  </w:style>
  <w:style w:type="table" w:styleId="a0" w:customStyle="1">
    <w:basedOn w:val="TableNormal"/>
    <w:tblPr>
      <w:tblStyleRowBandSize w:val="1"/>
      <w:tblStyleColBandSize w:val="1"/>
      <w:tblCellMar>
        <w:left w:w="115.0" w:type="dxa"/>
        <w:right w:w="115.0" w:type="dxa"/>
      </w:tblCellMar>
    </w:tblPr>
  </w:style>
  <w:style w:type="character" w:styleId="Heading1Char" w:customStyle="1">
    <w:name w:val="Heading 1 Char"/>
    <w:basedOn w:val="DefaultParagraphFont"/>
    <w:link w:val="Heading1"/>
    <w:uiPriority w:val="9"/>
    <w:rsid w:val="00F75B0C"/>
    <w:rPr>
      <w:b w:val="1"/>
      <w:sz w:val="48"/>
      <w:szCs w:val="48"/>
    </w:rPr>
  </w:style>
  <w:style w:type="paragraph" w:styleId="List2">
    <w:name w:val="List 2"/>
    <w:basedOn w:val="Normal"/>
    <w:uiPriority w:val="99"/>
    <w:semiHidden w:val="1"/>
    <w:unhideWhenUsed w:val="1"/>
    <w:rsid w:val="00C56A2F"/>
    <w:pPr>
      <w:ind w:left="720" w:hanging="360"/>
      <w:contextualSpacing w:val="1"/>
    </w:p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character" w:styleId="Emphasis">
    <w:name w:val="Emphasis"/>
    <w:basedOn w:val="DefaultParagraphFont"/>
    <w:uiPriority w:val="20"/>
    <w:qFormat w:val="1"/>
    <w:rsid w:val="00434392"/>
    <w:rPr>
      <w:i w:val="1"/>
      <w:i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uspreventiveservicestaskforce.org/uspstf/recommendation/depression-in-children-and-adolescents-screening" TargetMode="External"/><Relationship Id="rId11" Type="http://schemas.openxmlformats.org/officeDocument/2006/relationships/hyperlink" Target="https://www.uspreventiveservicestaskforce.org/uspstf/recommendation-topics/uspstf-and-b-recommendations" TargetMode="External"/><Relationship Id="rId22" Type="http://schemas.openxmlformats.org/officeDocument/2006/relationships/hyperlink" Target="https://www.uspreventiveservicestaskforce.org/uspstf/recommendation/obesity-in-children-and-adolescents-screening" TargetMode="External"/><Relationship Id="rId10" Type="http://schemas.openxmlformats.org/officeDocument/2006/relationships/hyperlink" Target="https://www.cdc.gov/mmwr/pdf/rr/rr6304.pdf" TargetMode="External"/><Relationship Id="rId21" Type="http://schemas.openxmlformats.org/officeDocument/2006/relationships/hyperlink" Target="https://www.uspreventiveservicestaskforce.org/uspstf/recommendation/obesity-in-adults-interventions" TargetMode="External"/><Relationship Id="rId13" Type="http://schemas.openxmlformats.org/officeDocument/2006/relationships/hyperlink" Target="https://www.uspreventiveservicestaskforce.org/uspstf/recommendation/intimate-partner-violence-and-abuse-of-elderly-and-vulnerable-adults-screening" TargetMode="External"/><Relationship Id="rId24" Type="http://schemas.openxmlformats.org/officeDocument/2006/relationships/hyperlink" Target="https://www.uspreventiveservicestaskforce.org/uspstf/recommendation/screening-for-abnormal-blood-glucose-and-type-2-diabetes" TargetMode="External"/><Relationship Id="rId12" Type="http://schemas.openxmlformats.org/officeDocument/2006/relationships/hyperlink" Target="https://www.uspreventiveservicestaskforce.org/uspstf/recommendation/folic-acid-for-the-prevention-of-neural-tube-defects-preventive-medication" TargetMode="External"/><Relationship Id="rId23" Type="http://schemas.openxmlformats.org/officeDocument/2006/relationships/hyperlink" Target="https://www.uspreventiveservicestaskforce.org/uspstf/recommendation/hypertension-in-adults-screen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cfr.federalregister.gov/current/title-42/chapter-I/subchapter-D/part-59" TargetMode="External"/><Relationship Id="rId15" Type="http://schemas.openxmlformats.org/officeDocument/2006/relationships/hyperlink" Target="https://www.uspreventiveservicestaskforce.org/uspstf/recommendation/drug-use-illicit-screening" TargetMode="External"/><Relationship Id="rId14" Type="http://schemas.openxmlformats.org/officeDocument/2006/relationships/hyperlink" Target="https://www.uspreventiveservicestaskforce.org/uspstf/recommendation/unhealthy-alcohol-use-in-adolescents-and-adults-screening-and-behavioral-counseling-interventions" TargetMode="External"/><Relationship Id="rId17" Type="http://schemas.openxmlformats.org/officeDocument/2006/relationships/hyperlink" Target="https://www.uspreventiveservicestaskforce.org/uspstf/recommendation/tobacco-and-nicotine-use-prevention-in-children-and-adolescents-primary-care-interventions" TargetMode="External"/><Relationship Id="rId16" Type="http://schemas.openxmlformats.org/officeDocument/2006/relationships/hyperlink" Target="https://www.uspreventiveservicestaskforce.org/uspstf/recommendation/tobacco-use-in-adults-and-pregnant-women-counseling-and-interventions" TargetMode="External"/><Relationship Id="rId5" Type="http://schemas.openxmlformats.org/officeDocument/2006/relationships/styles" Target="styles.xml"/><Relationship Id="rId19" Type="http://schemas.openxmlformats.org/officeDocument/2006/relationships/hyperlink" Target="https://www.uspreventiveservicestaskforce.org/uspstf/recommendation/depression-in-adults-screening" TargetMode="External"/><Relationship Id="rId6" Type="http://schemas.openxmlformats.org/officeDocument/2006/relationships/customXml" Target="../customXML/item1.xml"/><Relationship Id="rId18" Type="http://schemas.openxmlformats.org/officeDocument/2006/relationships/hyperlink" Target="https://www.cdc.gov/vaccines/acip/recommendations.html" TargetMode="External"/><Relationship Id="rId7" Type="http://schemas.openxmlformats.org/officeDocument/2006/relationships/hyperlink" Target="https://ecfr.federalregister.gov/current/title-42/chapter-I/subchapter-D/part-59" TargetMode="External"/><Relationship Id="rId8" Type="http://schemas.openxmlformats.org/officeDocument/2006/relationships/hyperlink" Target="https://www.cdc.gov/mmwr/pdf/rr/rr6304.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yP9s67B5OsvDjkhdwmAiEaYg==">CgMxLjAyCWguMzBqMHpsbDgAciExQS12dlFIWG5mRnhqQzJmeTJnaEF2T2M1NUxsMS1DczU=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2025-11-26T13:35:00Z</dcterms:created>
  <dc:creator>Farb, Debbie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0x010100474470FC0E97474EA448841414920523</vt:lpwstr>
  </property>
</Properties>
</file>