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B8C" w:rsidRDefault="008C7BD9">
      <w:pPr>
        <w:spacing w:before="240"/>
        <w:jc w:val="center"/>
        <w:rPr>
          <w:rFonts w:ascii="Arial" w:eastAsia="Arial" w:hAnsi="Arial" w:cs="Arial"/>
        </w:rPr>
      </w:pPr>
      <w:bookmarkStart w:id="0" w:name="_GoBack"/>
      <w:bookmarkEnd w:id="0"/>
      <w:r>
        <w:rPr>
          <w:rFonts w:ascii="Arial" w:eastAsia="Arial" w:hAnsi="Arial" w:cs="Arial"/>
          <w:color w:val="000000"/>
          <w:sz w:val="22"/>
          <w:szCs w:val="22"/>
        </w:rPr>
        <w:t>[INSERT AGENCY NAME AND LOGO] </w:t>
      </w:r>
    </w:p>
    <w:p w:rsidR="00A16B8C" w:rsidRDefault="008C7BD9">
      <w:pPr>
        <w:spacing w:before="240"/>
        <w:jc w:val="center"/>
        <w:rPr>
          <w:rFonts w:ascii="Arial" w:eastAsia="Arial" w:hAnsi="Arial" w:cs="Arial"/>
        </w:rPr>
      </w:pPr>
      <w:r>
        <w:rPr>
          <w:rFonts w:ascii="Arial" w:eastAsia="Arial" w:hAnsi="Arial" w:cs="Arial"/>
          <w:b/>
        </w:rPr>
        <w:t>HUMAN TRAFFICKING POLICY AND PROCEDURES TEMPLATE</w:t>
      </w:r>
      <w:r>
        <w:rPr>
          <w:rFonts w:ascii="Arial" w:eastAsia="Arial" w:hAnsi="Arial" w:cs="Arial"/>
        </w:rPr>
        <w:br/>
      </w:r>
      <w:r>
        <w:rPr>
          <w:rFonts w:ascii="Arial" w:eastAsia="Arial" w:hAnsi="Arial" w:cs="Arial"/>
          <w:color w:val="000000"/>
          <w:sz w:val="22"/>
          <w:szCs w:val="22"/>
        </w:rPr>
        <w:t> </w:t>
      </w:r>
    </w:p>
    <w:tbl>
      <w:tblPr>
        <w:tblStyle w:val="a1"/>
        <w:tblW w:w="9340" w:type="dxa"/>
        <w:tblLayout w:type="fixed"/>
        <w:tblLook w:val="0400" w:firstRow="0" w:lastRow="0" w:firstColumn="0" w:lastColumn="0" w:noHBand="0" w:noVBand="1"/>
      </w:tblPr>
      <w:tblGrid>
        <w:gridCol w:w="2870"/>
        <w:gridCol w:w="6470"/>
      </w:tblGrid>
      <w:tr w:rsidR="00A16B8C">
        <w:trPr>
          <w:trHeight w:val="2220"/>
        </w:trPr>
        <w:tc>
          <w:tcPr>
            <w:tcW w:w="93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16B8C" w:rsidRDefault="008C7BD9">
            <w:pPr>
              <w:spacing w:before="480" w:after="120"/>
              <w:jc w:val="center"/>
              <w:rPr>
                <w:rFonts w:ascii="Arial" w:eastAsia="Arial" w:hAnsi="Arial" w:cs="Arial"/>
                <w:b/>
                <w:sz w:val="28"/>
                <w:szCs w:val="28"/>
              </w:rPr>
            </w:pPr>
            <w:r>
              <w:rPr>
                <w:rFonts w:ascii="Arial" w:eastAsia="Arial" w:hAnsi="Arial" w:cs="Arial"/>
                <w:b/>
                <w:color w:val="000000"/>
                <w:sz w:val="28"/>
                <w:szCs w:val="28"/>
              </w:rPr>
              <w:t>Human Trafficking Response</w:t>
            </w:r>
          </w:p>
          <w:p w:rsidR="00A16B8C" w:rsidRDefault="008C7BD9">
            <w:pPr>
              <w:spacing w:before="240"/>
              <w:rPr>
                <w:rFonts w:ascii="Arial" w:eastAsia="Arial" w:hAnsi="Arial" w:cs="Arial"/>
              </w:rPr>
            </w:pPr>
            <w:r>
              <w:rPr>
                <w:rFonts w:ascii="Arial" w:eastAsia="Arial" w:hAnsi="Arial" w:cs="Arial"/>
                <w:color w:val="000000"/>
                <w:sz w:val="22"/>
                <w:szCs w:val="22"/>
              </w:rPr>
              <w:t>Title X grantees and subrecipient agencies are required to train staff on identification of potential victims of human trafficking and on notification, reporting, and appropriate intervention strategies.</w:t>
            </w:r>
          </w:p>
        </w:tc>
      </w:tr>
      <w:tr w:rsidR="00A16B8C">
        <w:trPr>
          <w:trHeight w:val="402"/>
        </w:trPr>
        <w:tc>
          <w:tcPr>
            <w:tcW w:w="2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b/>
                <w:color w:val="000000"/>
                <w:sz w:val="22"/>
                <w:szCs w:val="22"/>
              </w:rPr>
              <w:t>Policy Title</w:t>
            </w:r>
          </w:p>
        </w:tc>
        <w:tc>
          <w:tcPr>
            <w:tcW w:w="6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color w:val="000000"/>
                <w:sz w:val="22"/>
                <w:szCs w:val="22"/>
              </w:rPr>
              <w:t>Human Trafficking Response</w:t>
            </w:r>
          </w:p>
        </w:tc>
      </w:tr>
      <w:tr w:rsidR="00A16B8C">
        <w:trPr>
          <w:trHeight w:val="582"/>
        </w:trPr>
        <w:tc>
          <w:tcPr>
            <w:tcW w:w="2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b/>
                <w:color w:val="000000"/>
                <w:sz w:val="22"/>
                <w:szCs w:val="22"/>
              </w:rPr>
              <w:t xml:space="preserve">Effective </w:t>
            </w:r>
            <w:r>
              <w:rPr>
                <w:rFonts w:ascii="Arial" w:eastAsia="Arial" w:hAnsi="Arial" w:cs="Arial"/>
                <w:b/>
                <w:color w:val="000000"/>
                <w:sz w:val="22"/>
                <w:szCs w:val="22"/>
              </w:rPr>
              <w:t>Date</w:t>
            </w:r>
          </w:p>
        </w:tc>
        <w:tc>
          <w:tcPr>
            <w:tcW w:w="6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color w:val="000000"/>
                <w:sz w:val="22"/>
                <w:szCs w:val="22"/>
              </w:rPr>
              <w:t> </w:t>
            </w:r>
          </w:p>
        </w:tc>
      </w:tr>
      <w:tr w:rsidR="00A16B8C">
        <w:trPr>
          <w:trHeight w:val="636"/>
        </w:trPr>
        <w:tc>
          <w:tcPr>
            <w:tcW w:w="2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b/>
                <w:color w:val="000000"/>
                <w:sz w:val="22"/>
                <w:szCs w:val="22"/>
              </w:rPr>
              <w:t>Revision Dates</w:t>
            </w:r>
          </w:p>
        </w:tc>
        <w:tc>
          <w:tcPr>
            <w:tcW w:w="6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color w:val="000000"/>
                <w:sz w:val="22"/>
                <w:szCs w:val="22"/>
              </w:rPr>
              <w:t> </w:t>
            </w:r>
          </w:p>
        </w:tc>
      </w:tr>
      <w:tr w:rsidR="00A16B8C">
        <w:trPr>
          <w:trHeight w:val="609"/>
        </w:trPr>
        <w:tc>
          <w:tcPr>
            <w:tcW w:w="2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b/>
                <w:color w:val="000000"/>
                <w:sz w:val="22"/>
                <w:szCs w:val="22"/>
              </w:rPr>
              <w:t>Review Due Date</w:t>
            </w:r>
          </w:p>
        </w:tc>
        <w:tc>
          <w:tcPr>
            <w:tcW w:w="6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sz w:val="22"/>
                <w:szCs w:val="22"/>
              </w:rPr>
            </w:pPr>
            <w:r>
              <w:rPr>
                <w:rFonts w:ascii="Arial" w:eastAsia="Arial" w:hAnsi="Arial" w:cs="Arial"/>
                <w:color w:val="000000"/>
                <w:sz w:val="22"/>
                <w:szCs w:val="22"/>
              </w:rPr>
              <w:t> </w:t>
            </w:r>
          </w:p>
        </w:tc>
      </w:tr>
      <w:tr w:rsidR="00A16B8C">
        <w:trPr>
          <w:trHeight w:val="1155"/>
        </w:trPr>
        <w:tc>
          <w:tcPr>
            <w:tcW w:w="2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b/>
                <w:color w:val="000000"/>
                <w:sz w:val="22"/>
                <w:szCs w:val="22"/>
              </w:rPr>
              <w:t>References</w:t>
            </w:r>
          </w:p>
        </w:tc>
        <w:tc>
          <w:tcPr>
            <w:tcW w:w="6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color w:val="000000"/>
                <w:sz w:val="22"/>
                <w:szCs w:val="22"/>
              </w:rPr>
            </w:pPr>
            <w:r>
              <w:rPr>
                <w:rFonts w:ascii="Arial" w:eastAsia="Arial" w:hAnsi="Arial" w:cs="Arial"/>
                <w:color w:val="000000"/>
                <w:sz w:val="22"/>
                <w:szCs w:val="22"/>
              </w:rPr>
              <w:t>Title X Legislative Mandates</w:t>
            </w:r>
          </w:p>
          <w:bookmarkStart w:id="1" w:name="_heading=h.30j0zll" w:colFirst="0" w:colLast="0"/>
          <w:bookmarkEnd w:id="1"/>
          <w:p w:rsidR="00A16B8C" w:rsidRDefault="008C7BD9">
            <w:pPr>
              <w:spacing w:before="240"/>
              <w:rPr>
                <w:rFonts w:ascii="Arial" w:eastAsia="Arial" w:hAnsi="Arial" w:cs="Arial"/>
                <w:sz w:val="22"/>
                <w:szCs w:val="22"/>
              </w:rPr>
            </w:pPr>
            <w:r>
              <w:fldChar w:fldCharType="begin"/>
            </w:r>
            <w:r>
              <w:instrText xml:space="preserve"> HYPERLINK "https://opa.hhs.gov/grant-programs/title-x-service-grants/title-x-statutes-regulations-and-legislative-mandates" \h </w:instrText>
            </w:r>
            <w:r>
              <w:fldChar w:fldCharType="separate"/>
            </w:r>
            <w:r>
              <w:rPr>
                <w:rFonts w:ascii="Arial" w:eastAsia="Arial" w:hAnsi="Arial" w:cs="Arial"/>
                <w:color w:val="0000FF"/>
                <w:sz w:val="22"/>
                <w:szCs w:val="22"/>
                <w:u w:val="single"/>
              </w:rPr>
              <w:t>https://opa.hhs.gov/grant-programs/title-x-service-grants/title-x-statutes-regulations-and-legislative-mandates</w:t>
            </w:r>
            <w:r>
              <w:rPr>
                <w:rFonts w:ascii="Arial" w:eastAsia="Arial" w:hAnsi="Arial" w:cs="Arial"/>
                <w:color w:val="0000FF"/>
                <w:sz w:val="22"/>
                <w:szCs w:val="22"/>
                <w:u w:val="single"/>
              </w:rPr>
              <w:fldChar w:fldCharType="end"/>
            </w:r>
            <w:r>
              <w:rPr>
                <w:rFonts w:ascii="Arial" w:eastAsia="Arial" w:hAnsi="Arial" w:cs="Arial"/>
                <w:sz w:val="22"/>
                <w:szCs w:val="22"/>
              </w:rPr>
              <w:t xml:space="preserve"> </w:t>
            </w:r>
          </w:p>
        </w:tc>
      </w:tr>
      <w:tr w:rsidR="00A16B8C">
        <w:trPr>
          <w:trHeight w:val="591"/>
        </w:trPr>
        <w:tc>
          <w:tcPr>
            <w:tcW w:w="2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b/>
                <w:color w:val="000000"/>
                <w:sz w:val="22"/>
                <w:szCs w:val="22"/>
              </w:rPr>
              <w:t>Approved by Signature</w:t>
            </w:r>
          </w:p>
        </w:tc>
        <w:tc>
          <w:tcPr>
            <w:tcW w:w="6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color w:val="000000"/>
                <w:sz w:val="22"/>
                <w:szCs w:val="22"/>
              </w:rPr>
              <w:t> </w:t>
            </w:r>
          </w:p>
        </w:tc>
      </w:tr>
      <w:tr w:rsidR="00A16B8C">
        <w:trPr>
          <w:trHeight w:val="582"/>
        </w:trPr>
        <w:tc>
          <w:tcPr>
            <w:tcW w:w="2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b/>
                <w:color w:val="000000"/>
                <w:sz w:val="22"/>
                <w:szCs w:val="22"/>
              </w:rPr>
              <w:t>Approved Date</w:t>
            </w:r>
          </w:p>
        </w:tc>
        <w:tc>
          <w:tcPr>
            <w:tcW w:w="6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16B8C" w:rsidRDefault="008C7BD9">
            <w:pPr>
              <w:spacing w:before="240"/>
              <w:rPr>
                <w:rFonts w:ascii="Arial" w:eastAsia="Arial" w:hAnsi="Arial" w:cs="Arial"/>
              </w:rPr>
            </w:pPr>
            <w:r>
              <w:rPr>
                <w:rFonts w:ascii="Arial" w:eastAsia="Arial" w:hAnsi="Arial" w:cs="Arial"/>
                <w:color w:val="000000"/>
                <w:sz w:val="22"/>
                <w:szCs w:val="22"/>
              </w:rPr>
              <w:t> </w:t>
            </w:r>
          </w:p>
        </w:tc>
      </w:tr>
    </w:tbl>
    <w:p w:rsidR="00A16B8C" w:rsidRDefault="008C7BD9">
      <w:pPr>
        <w:spacing w:before="240"/>
        <w:rPr>
          <w:rFonts w:ascii="Arial" w:eastAsia="Arial" w:hAnsi="Arial" w:cs="Arial"/>
        </w:rPr>
      </w:pPr>
      <w:r>
        <w:rPr>
          <w:rFonts w:ascii="Arial" w:eastAsia="Arial" w:hAnsi="Arial" w:cs="Arial"/>
          <w:b/>
          <w:color w:val="000000"/>
          <w:sz w:val="22"/>
          <w:szCs w:val="22"/>
        </w:rPr>
        <w:t xml:space="preserve">Purpose: </w:t>
      </w:r>
      <w:r>
        <w:rPr>
          <w:rFonts w:ascii="Arial" w:eastAsia="Arial" w:hAnsi="Arial" w:cs="Arial"/>
          <w:color w:val="000000"/>
          <w:sz w:val="22"/>
          <w:szCs w:val="22"/>
        </w:rPr>
        <w:t xml:space="preserve">The purpose of this policy is to describe </w:t>
      </w:r>
      <w:r>
        <w:rPr>
          <w:rFonts w:ascii="Arial" w:eastAsia="Arial" w:hAnsi="Arial" w:cs="Arial"/>
          <w:b/>
          <w:i/>
          <w:color w:val="000000"/>
          <w:sz w:val="22"/>
          <w:szCs w:val="22"/>
        </w:rPr>
        <w:t>(</w:t>
      </w:r>
      <w:r>
        <w:rPr>
          <w:rFonts w:ascii="Arial" w:eastAsia="Arial" w:hAnsi="Arial" w:cs="Arial"/>
          <w:b/>
          <w:i/>
          <w:color w:val="000000"/>
          <w:sz w:val="22"/>
          <w:szCs w:val="22"/>
          <w:u w:val="single"/>
        </w:rPr>
        <w:t>Insert Agency Name</w:t>
      </w:r>
      <w:r>
        <w:rPr>
          <w:rFonts w:ascii="Arial" w:eastAsia="Arial" w:hAnsi="Arial" w:cs="Arial"/>
          <w:b/>
          <w:i/>
          <w:color w:val="000000"/>
          <w:sz w:val="22"/>
          <w:szCs w:val="22"/>
        </w:rPr>
        <w:t>)</w:t>
      </w:r>
      <w:r>
        <w:rPr>
          <w:rFonts w:ascii="Arial" w:eastAsia="Arial" w:hAnsi="Arial" w:cs="Arial"/>
          <w:color w:val="000000"/>
          <w:sz w:val="22"/>
          <w:szCs w:val="22"/>
        </w:rPr>
        <w:t xml:space="preserve">’s process for ensuring that grantee and subrecipient staff are in compliance with the requirement that staff </w:t>
      </w:r>
      <w:r>
        <w:rPr>
          <w:rFonts w:ascii="Arial" w:eastAsia="Arial" w:hAnsi="Arial" w:cs="Arial"/>
          <w:color w:val="000000"/>
          <w:sz w:val="22"/>
          <w:szCs w:val="22"/>
        </w:rPr>
        <w:br/>
        <w:t>are trained to appropriately identify, report, and refer victims and survivors of human trafficking.</w:t>
      </w:r>
    </w:p>
    <w:p w:rsidR="00A16B8C" w:rsidRDefault="008C7BD9">
      <w:pPr>
        <w:spacing w:before="240"/>
        <w:rPr>
          <w:rFonts w:ascii="Arial" w:eastAsia="Arial" w:hAnsi="Arial" w:cs="Arial"/>
        </w:rPr>
      </w:pPr>
      <w:r>
        <w:rPr>
          <w:rFonts w:ascii="Arial" w:eastAsia="Arial" w:hAnsi="Arial" w:cs="Arial"/>
          <w:b/>
          <w:color w:val="000000"/>
          <w:sz w:val="22"/>
          <w:szCs w:val="22"/>
        </w:rPr>
        <w:t>Policy:</w:t>
      </w:r>
      <w:r>
        <w:rPr>
          <w:rFonts w:ascii="Arial" w:eastAsia="Arial" w:hAnsi="Arial" w:cs="Arial"/>
          <w:i/>
          <w:color w:val="000000"/>
          <w:sz w:val="22"/>
          <w:szCs w:val="22"/>
        </w:rPr>
        <w:t xml:space="preserve"> [The agency may want to include the </w:t>
      </w:r>
      <w:r>
        <w:rPr>
          <w:rFonts w:ascii="Arial" w:eastAsia="Arial" w:hAnsi="Arial" w:cs="Arial"/>
          <w:i/>
          <w:color w:val="000000"/>
          <w:sz w:val="22"/>
          <w:szCs w:val="22"/>
        </w:rPr>
        <w:t>following:]</w:t>
      </w:r>
    </w:p>
    <w:p w:rsidR="00A16B8C" w:rsidRDefault="008C7BD9">
      <w:pPr>
        <w:numPr>
          <w:ilvl w:val="0"/>
          <w:numId w:val="1"/>
        </w:numPr>
        <w:spacing w:before="240"/>
        <w:rPr>
          <w:rFonts w:ascii="Arial" w:eastAsia="Arial" w:hAnsi="Arial" w:cs="Arial"/>
          <w:color w:val="000000"/>
          <w:sz w:val="22"/>
          <w:szCs w:val="22"/>
        </w:rPr>
      </w:pPr>
      <w:r>
        <w:rPr>
          <w:rFonts w:ascii="Arial" w:eastAsia="Arial" w:hAnsi="Arial" w:cs="Arial"/>
          <w:color w:val="000000"/>
          <w:sz w:val="22"/>
          <w:szCs w:val="22"/>
        </w:rPr>
        <w:t>Staff will be trained at least annually on:</w:t>
      </w:r>
    </w:p>
    <w:p w:rsidR="00A16B8C" w:rsidRDefault="008C7BD9">
      <w:pPr>
        <w:numPr>
          <w:ilvl w:val="1"/>
          <w:numId w:val="1"/>
        </w:numPr>
        <w:rPr>
          <w:rFonts w:ascii="Arial" w:eastAsia="Arial" w:hAnsi="Arial" w:cs="Arial"/>
          <w:b/>
          <w:sz w:val="22"/>
          <w:szCs w:val="22"/>
        </w:rPr>
      </w:pPr>
      <w:r>
        <w:rPr>
          <w:rFonts w:ascii="Arial" w:eastAsia="Arial" w:hAnsi="Arial" w:cs="Arial"/>
          <w:color w:val="000000"/>
          <w:sz w:val="22"/>
          <w:szCs w:val="22"/>
        </w:rPr>
        <w:t>Human trafficking identification and response</w:t>
      </w:r>
    </w:p>
    <w:p w:rsidR="00A16B8C" w:rsidRDefault="008C7BD9">
      <w:pPr>
        <w:numPr>
          <w:ilvl w:val="1"/>
          <w:numId w:val="1"/>
        </w:numPr>
        <w:rPr>
          <w:rFonts w:ascii="Arial" w:eastAsia="Arial" w:hAnsi="Arial" w:cs="Arial"/>
          <w:b/>
          <w:sz w:val="22"/>
          <w:szCs w:val="22"/>
        </w:rPr>
      </w:pPr>
      <w:r>
        <w:rPr>
          <w:rFonts w:ascii="Arial" w:eastAsia="Arial" w:hAnsi="Arial" w:cs="Arial"/>
          <w:color w:val="000000"/>
          <w:sz w:val="22"/>
          <w:szCs w:val="22"/>
        </w:rPr>
        <w:t>Mandatory reporting requirements</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Confidentiality</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lastRenderedPageBreak/>
        <w:t>Trauma-informed care</w:t>
      </w:r>
    </w:p>
    <w:p w:rsidR="00A16B8C" w:rsidRDefault="008C7BD9">
      <w:pPr>
        <w:numPr>
          <w:ilvl w:val="0"/>
          <w:numId w:val="1"/>
        </w:numPr>
        <w:rPr>
          <w:rFonts w:ascii="Arial" w:eastAsia="Arial" w:hAnsi="Arial" w:cs="Arial"/>
          <w:color w:val="000000"/>
          <w:sz w:val="22"/>
          <w:szCs w:val="22"/>
        </w:rPr>
      </w:pPr>
      <w:bookmarkStart w:id="2" w:name="_heading=h.gjdgxs" w:colFirst="0" w:colLast="0"/>
      <w:bookmarkEnd w:id="2"/>
      <w:r>
        <w:rPr>
          <w:rFonts w:ascii="Arial" w:eastAsia="Arial" w:hAnsi="Arial" w:cs="Arial"/>
          <w:sz w:val="22"/>
          <w:szCs w:val="22"/>
        </w:rPr>
        <w:t>A</w:t>
      </w:r>
      <w:r>
        <w:rPr>
          <w:rFonts w:ascii="Arial" w:eastAsia="Arial" w:hAnsi="Arial" w:cs="Arial"/>
          <w:color w:val="000000"/>
          <w:sz w:val="22"/>
          <w:szCs w:val="22"/>
        </w:rPr>
        <w:t>gency establishes knowledge of and/or maintains relationships with:</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The National Human Trafficking Hotline</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State child protective services </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Local organizations that serve human trafficking victims; social service agencies; and human trafficking prevention coalitions</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Law enforcement agencies, including relevant FBI task for</w:t>
      </w:r>
      <w:r>
        <w:rPr>
          <w:rFonts w:ascii="Arial" w:eastAsia="Arial" w:hAnsi="Arial" w:cs="Arial"/>
          <w:color w:val="000000"/>
          <w:sz w:val="22"/>
          <w:szCs w:val="22"/>
        </w:rPr>
        <w:t>ces and police and/or sheriffs’ offices</w:t>
      </w:r>
    </w:p>
    <w:p w:rsidR="00A16B8C" w:rsidRDefault="008C7BD9">
      <w:pPr>
        <w:numPr>
          <w:ilvl w:val="0"/>
          <w:numId w:val="1"/>
        </w:numPr>
        <w:rPr>
          <w:rFonts w:ascii="Arial" w:eastAsia="Arial" w:hAnsi="Arial" w:cs="Arial"/>
          <w:color w:val="000000"/>
          <w:sz w:val="22"/>
          <w:szCs w:val="22"/>
        </w:rPr>
      </w:pPr>
      <w:r>
        <w:rPr>
          <w:rFonts w:ascii="Arial" w:eastAsia="Arial" w:hAnsi="Arial" w:cs="Arial"/>
          <w:color w:val="000000"/>
          <w:sz w:val="22"/>
          <w:szCs w:val="22"/>
        </w:rPr>
        <w:t>Staff may encounter victims and survivors of human trafficking throughout the clinic visit</w:t>
      </w:r>
    </w:p>
    <w:p w:rsidR="00A16B8C" w:rsidRDefault="008C7BD9">
      <w:pPr>
        <w:numPr>
          <w:ilvl w:val="0"/>
          <w:numId w:val="1"/>
        </w:numPr>
        <w:rPr>
          <w:rFonts w:ascii="Arial" w:eastAsia="Arial" w:hAnsi="Arial" w:cs="Arial"/>
          <w:color w:val="000000"/>
          <w:sz w:val="22"/>
          <w:szCs w:val="22"/>
        </w:rPr>
      </w:pPr>
      <w:r>
        <w:rPr>
          <w:rFonts w:ascii="Arial" w:eastAsia="Arial" w:hAnsi="Arial" w:cs="Arial"/>
          <w:color w:val="000000"/>
          <w:sz w:val="22"/>
          <w:szCs w:val="22"/>
        </w:rPr>
        <w:t>Family planning care and requested services will be provided as requested and needed, regardless of a client’s willingness to</w:t>
      </w:r>
      <w:r>
        <w:rPr>
          <w:rFonts w:ascii="Arial" w:eastAsia="Arial" w:hAnsi="Arial" w:cs="Arial"/>
          <w:color w:val="000000"/>
          <w:sz w:val="22"/>
          <w:szCs w:val="22"/>
        </w:rPr>
        <w:t xml:space="preserve"> report human trafficking or other violence</w:t>
      </w:r>
    </w:p>
    <w:p w:rsidR="00A16B8C" w:rsidRDefault="008C7BD9">
      <w:pPr>
        <w:numPr>
          <w:ilvl w:val="0"/>
          <w:numId w:val="1"/>
        </w:numPr>
        <w:rPr>
          <w:rFonts w:ascii="Arial" w:eastAsia="Arial" w:hAnsi="Arial" w:cs="Arial"/>
          <w:color w:val="000000"/>
          <w:sz w:val="22"/>
          <w:szCs w:val="22"/>
        </w:rPr>
      </w:pPr>
      <w:r>
        <w:rPr>
          <w:rFonts w:ascii="Arial" w:eastAsia="Arial" w:hAnsi="Arial" w:cs="Arial"/>
          <w:color w:val="000000"/>
          <w:sz w:val="22"/>
          <w:szCs w:val="22"/>
        </w:rPr>
        <w:t>Agency incorporates the expertise and experience of survivors when shaping protocols </w:t>
      </w:r>
    </w:p>
    <w:p w:rsidR="00A16B8C" w:rsidRDefault="008C7BD9">
      <w:pPr>
        <w:numPr>
          <w:ilvl w:val="0"/>
          <w:numId w:val="1"/>
        </w:numPr>
        <w:rPr>
          <w:rFonts w:ascii="Arial" w:eastAsia="Arial" w:hAnsi="Arial" w:cs="Arial"/>
          <w:color w:val="000000"/>
          <w:sz w:val="22"/>
          <w:szCs w:val="22"/>
        </w:rPr>
      </w:pPr>
      <w:r>
        <w:rPr>
          <w:rFonts w:ascii="Arial" w:eastAsia="Arial" w:hAnsi="Arial" w:cs="Arial"/>
          <w:color w:val="000000"/>
          <w:sz w:val="22"/>
          <w:szCs w:val="22"/>
        </w:rPr>
        <w:t>Procedures for responding to human trafficking should:</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Use gender- and age-neutral language</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Use non-judgmental, non-blaming la</w:t>
      </w:r>
      <w:r>
        <w:rPr>
          <w:rFonts w:ascii="Arial" w:eastAsia="Arial" w:hAnsi="Arial" w:cs="Arial"/>
          <w:color w:val="000000"/>
          <w:sz w:val="22"/>
          <w:szCs w:val="22"/>
        </w:rPr>
        <w:t>nguage to describe trafficking</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Refer to site protocols regarding other forms of violence and response</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 xml:space="preserve">Use existing anti-trafficking resources from the </w:t>
      </w:r>
      <w:hyperlink r:id="rId6">
        <w:r>
          <w:rPr>
            <w:rFonts w:ascii="Arial" w:eastAsia="Arial" w:hAnsi="Arial" w:cs="Arial"/>
            <w:color w:val="1155CC"/>
            <w:sz w:val="22"/>
            <w:szCs w:val="22"/>
            <w:u w:val="single"/>
          </w:rPr>
          <w:t>National Human Trafficking Hotline</w:t>
        </w:r>
      </w:hyperlink>
      <w:r>
        <w:rPr>
          <w:rFonts w:ascii="Arial" w:eastAsia="Arial" w:hAnsi="Arial" w:cs="Arial"/>
          <w:color w:val="000000"/>
          <w:sz w:val="22"/>
          <w:szCs w:val="22"/>
        </w:rPr>
        <w:t xml:space="preserve"> or the </w:t>
      </w:r>
      <w:hyperlink r:id="rId7">
        <w:r>
          <w:rPr>
            <w:rFonts w:ascii="Arial" w:eastAsia="Arial" w:hAnsi="Arial" w:cs="Arial"/>
            <w:color w:val="1155CC"/>
            <w:sz w:val="22"/>
            <w:szCs w:val="22"/>
            <w:u w:val="single"/>
          </w:rPr>
          <w:t>National Human Trafficking Training and Technical Assistance Center</w:t>
        </w:r>
      </w:hyperlink>
      <w:r>
        <w:rPr>
          <w:rFonts w:ascii="Arial" w:eastAsia="Arial" w:hAnsi="Arial" w:cs="Arial"/>
          <w:color w:val="000000"/>
          <w:sz w:val="22"/>
          <w:szCs w:val="22"/>
        </w:rPr>
        <w:t xml:space="preserve"> (NHTTAC)</w:t>
      </w:r>
    </w:p>
    <w:p w:rsidR="00A16B8C" w:rsidRDefault="008C7BD9">
      <w:pPr>
        <w:numPr>
          <w:ilvl w:val="0"/>
          <w:numId w:val="1"/>
        </w:numPr>
        <w:spacing w:before="80" w:after="80"/>
        <w:rPr>
          <w:rFonts w:ascii="Arial" w:eastAsia="Arial" w:hAnsi="Arial" w:cs="Arial"/>
          <w:color w:val="000000"/>
          <w:sz w:val="22"/>
          <w:szCs w:val="22"/>
        </w:rPr>
      </w:pPr>
      <w:r>
        <w:rPr>
          <w:rFonts w:ascii="Arial" w:eastAsia="Arial" w:hAnsi="Arial" w:cs="Arial"/>
          <w:color w:val="000000"/>
          <w:sz w:val="22"/>
          <w:szCs w:val="22"/>
        </w:rPr>
        <w:t>Agenc</w:t>
      </w:r>
      <w:r>
        <w:rPr>
          <w:rFonts w:ascii="Arial" w:eastAsia="Arial" w:hAnsi="Arial" w:cs="Arial"/>
          <w:sz w:val="22"/>
          <w:szCs w:val="22"/>
        </w:rPr>
        <w:t>y</w:t>
      </w:r>
      <w:r>
        <w:rPr>
          <w:rFonts w:ascii="Arial" w:eastAsia="Arial" w:hAnsi="Arial" w:cs="Arial"/>
          <w:color w:val="000000"/>
          <w:sz w:val="22"/>
          <w:szCs w:val="22"/>
        </w:rPr>
        <w:t xml:space="preserve"> distributes and posts violence education and prevention materials in languages accessible to the client population.</w:t>
      </w:r>
      <w:r>
        <w:rPr>
          <w:rFonts w:ascii="Arial" w:eastAsia="Arial" w:hAnsi="Arial" w:cs="Arial"/>
          <w:color w:val="000000"/>
          <w:sz w:val="22"/>
          <w:szCs w:val="22"/>
        </w:rPr>
        <w:t xml:space="preserve"> These materials can include human trafficking education and information </w:t>
      </w:r>
      <w:r>
        <w:rPr>
          <w:rFonts w:ascii="Arial" w:eastAsia="Arial" w:hAnsi="Arial" w:cs="Arial"/>
          <w:sz w:val="22"/>
          <w:szCs w:val="22"/>
        </w:rPr>
        <w:t>on</w:t>
      </w:r>
      <w:r>
        <w:rPr>
          <w:rFonts w:ascii="Arial" w:eastAsia="Arial" w:hAnsi="Arial" w:cs="Arial"/>
          <w:color w:val="000000"/>
          <w:sz w:val="22"/>
          <w:szCs w:val="22"/>
        </w:rPr>
        <w:t xml:space="preserve"> resources available to a client who may not be ready or able to disclose victimization or accept assistance. All client materials must be reviewed by the Information and Education </w:t>
      </w:r>
      <w:r>
        <w:rPr>
          <w:rFonts w:ascii="Arial" w:eastAsia="Arial" w:hAnsi="Arial" w:cs="Arial"/>
          <w:color w:val="000000"/>
          <w:sz w:val="22"/>
          <w:szCs w:val="22"/>
        </w:rPr>
        <w:t>(I&amp;E) Committee per I</w:t>
      </w:r>
      <w:r>
        <w:rPr>
          <w:rFonts w:ascii="Arial" w:eastAsia="Arial" w:hAnsi="Arial" w:cs="Arial"/>
          <w:sz w:val="22"/>
          <w:szCs w:val="22"/>
        </w:rPr>
        <w:t>&amp;E policies.</w:t>
      </w:r>
      <w:r>
        <w:rPr>
          <w:rFonts w:ascii="Arial" w:eastAsia="Arial" w:hAnsi="Arial" w:cs="Arial"/>
          <w:color w:val="000000"/>
          <w:sz w:val="22"/>
          <w:szCs w:val="22"/>
        </w:rPr>
        <w:t xml:space="preserve"> </w:t>
      </w:r>
    </w:p>
    <w:p w:rsidR="00A16B8C" w:rsidRDefault="008C7BD9">
      <w:pPr>
        <w:numPr>
          <w:ilvl w:val="0"/>
          <w:numId w:val="1"/>
        </w:numPr>
        <w:spacing w:before="80" w:after="80"/>
        <w:rPr>
          <w:rFonts w:ascii="Arial" w:eastAsia="Arial" w:hAnsi="Arial" w:cs="Arial"/>
          <w:color w:val="000000"/>
          <w:sz w:val="22"/>
          <w:szCs w:val="22"/>
        </w:rPr>
      </w:pPr>
      <w:r>
        <w:rPr>
          <w:rFonts w:ascii="Arial" w:eastAsia="Arial" w:hAnsi="Arial" w:cs="Arial"/>
          <w:color w:val="000000"/>
          <w:sz w:val="22"/>
          <w:szCs w:val="22"/>
        </w:rPr>
        <w:t>Identify key personnel to be involved if human trafficking is suspected, based on site capacity.</w:t>
      </w:r>
    </w:p>
    <w:p w:rsidR="00A16B8C" w:rsidRDefault="008C7BD9">
      <w:pPr>
        <w:numPr>
          <w:ilvl w:val="1"/>
          <w:numId w:val="1"/>
        </w:numPr>
        <w:rPr>
          <w:rFonts w:ascii="Arial" w:eastAsia="Arial" w:hAnsi="Arial" w:cs="Arial"/>
          <w:sz w:val="22"/>
          <w:szCs w:val="22"/>
        </w:rPr>
      </w:pPr>
      <w:r>
        <w:rPr>
          <w:rFonts w:ascii="Arial" w:eastAsia="Arial" w:hAnsi="Arial" w:cs="Arial"/>
          <w:color w:val="000000"/>
          <w:sz w:val="22"/>
          <w:szCs w:val="22"/>
        </w:rPr>
        <w:t>Some sites may have specialized staff who can conduct more intensive interviews or assessments related to sexual assault, hu</w:t>
      </w:r>
      <w:r>
        <w:rPr>
          <w:rFonts w:ascii="Arial" w:eastAsia="Arial" w:hAnsi="Arial" w:cs="Arial"/>
          <w:color w:val="000000"/>
          <w:sz w:val="22"/>
          <w:szCs w:val="22"/>
        </w:rPr>
        <w:t>man trafficking, or other forms of violence. Sites with more limited expertise in this area can focus on referrals.</w:t>
      </w:r>
    </w:p>
    <w:p w:rsidR="00A16B8C" w:rsidRDefault="008C7BD9">
      <w:pPr>
        <w:numPr>
          <w:ilvl w:val="0"/>
          <w:numId w:val="2"/>
        </w:numPr>
        <w:spacing w:before="80" w:after="80"/>
        <w:rPr>
          <w:rFonts w:ascii="Arial" w:eastAsia="Arial" w:hAnsi="Arial" w:cs="Arial"/>
          <w:color w:val="000000"/>
          <w:sz w:val="22"/>
          <w:szCs w:val="22"/>
        </w:rPr>
      </w:pPr>
      <w:r>
        <w:rPr>
          <w:rFonts w:ascii="Arial" w:eastAsia="Arial" w:hAnsi="Arial" w:cs="Arial"/>
          <w:color w:val="000000"/>
          <w:sz w:val="22"/>
          <w:szCs w:val="22"/>
        </w:rPr>
        <w:t>Consider safety concerns (for client and staff) that may be a part of assisting a victim of trafficking. Consider other organizational policies related to when to call security or law enforcement. </w:t>
      </w:r>
    </w:p>
    <w:p w:rsidR="00A16B8C" w:rsidRDefault="008C7BD9">
      <w:pPr>
        <w:spacing w:before="240"/>
        <w:rPr>
          <w:rFonts w:ascii="Arial" w:eastAsia="Arial" w:hAnsi="Arial" w:cs="Arial"/>
        </w:rPr>
      </w:pPr>
      <w:r>
        <w:rPr>
          <w:rFonts w:ascii="Arial" w:eastAsia="Arial" w:hAnsi="Arial" w:cs="Arial"/>
          <w:b/>
          <w:color w:val="000000"/>
          <w:sz w:val="22"/>
          <w:szCs w:val="22"/>
        </w:rPr>
        <w:t>Procedure:</w:t>
      </w:r>
      <w:r>
        <w:rPr>
          <w:rFonts w:ascii="Arial" w:eastAsia="Arial" w:hAnsi="Arial" w:cs="Arial"/>
          <w:color w:val="000000"/>
          <w:sz w:val="22"/>
          <w:szCs w:val="22"/>
        </w:rPr>
        <w:t xml:space="preserve"> </w:t>
      </w:r>
      <w:r>
        <w:rPr>
          <w:rFonts w:ascii="Arial" w:eastAsia="Arial" w:hAnsi="Arial" w:cs="Arial"/>
          <w:i/>
          <w:color w:val="000000"/>
          <w:sz w:val="22"/>
          <w:szCs w:val="22"/>
        </w:rPr>
        <w:t>[The agency may want to include the following:]</w:t>
      </w:r>
    </w:p>
    <w:p w:rsidR="00A16B8C" w:rsidRDefault="008C7BD9">
      <w:pPr>
        <w:numPr>
          <w:ilvl w:val="0"/>
          <w:numId w:val="3"/>
        </w:numPr>
        <w:spacing w:before="120" w:after="120"/>
        <w:rPr>
          <w:rFonts w:ascii="Arial" w:eastAsia="Arial" w:hAnsi="Arial" w:cs="Arial"/>
          <w:color w:val="000000"/>
          <w:sz w:val="22"/>
          <w:szCs w:val="22"/>
        </w:rPr>
      </w:pPr>
      <w:r>
        <w:rPr>
          <w:rFonts w:ascii="Arial" w:eastAsia="Arial" w:hAnsi="Arial" w:cs="Arial"/>
          <w:sz w:val="22"/>
          <w:szCs w:val="22"/>
        </w:rPr>
        <w:t xml:space="preserve">Clinicians and staff agree upon a </w:t>
      </w:r>
      <w:r>
        <w:rPr>
          <w:rFonts w:ascii="Arial" w:eastAsia="Arial" w:hAnsi="Arial" w:cs="Arial"/>
          <w:color w:val="000000"/>
          <w:sz w:val="22"/>
          <w:szCs w:val="22"/>
        </w:rPr>
        <w:t xml:space="preserve">statement of shared commitment to human trafficking response. The agency posts this agreement for public view. For example: </w:t>
      </w:r>
    </w:p>
    <w:p w:rsidR="00A16B8C" w:rsidRDefault="008C7BD9">
      <w:pPr>
        <w:spacing w:after="120"/>
        <w:ind w:left="1440"/>
        <w:rPr>
          <w:rFonts w:ascii="Arial" w:eastAsia="Arial" w:hAnsi="Arial" w:cs="Arial"/>
        </w:rPr>
      </w:pPr>
      <w:r>
        <w:rPr>
          <w:rFonts w:ascii="Arial" w:eastAsia="Arial" w:hAnsi="Arial" w:cs="Arial"/>
          <w:color w:val="000000"/>
          <w:sz w:val="22"/>
          <w:szCs w:val="22"/>
          <w:highlight w:val="white"/>
        </w:rPr>
        <w:t>“</w:t>
      </w:r>
      <w:r>
        <w:rPr>
          <w:rFonts w:ascii="Arial" w:eastAsia="Arial" w:hAnsi="Arial" w:cs="Arial"/>
          <w:b/>
          <w:i/>
          <w:color w:val="000000"/>
          <w:sz w:val="22"/>
          <w:szCs w:val="22"/>
          <w:highlight w:val="white"/>
          <w:u w:val="single"/>
        </w:rPr>
        <w:t>(Insert Agency Name)</w:t>
      </w:r>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is committed to responding to the unique needs of human trafficking victim</w:t>
      </w:r>
      <w:r>
        <w:rPr>
          <w:rFonts w:ascii="Arial" w:eastAsia="Arial" w:hAnsi="Arial" w:cs="Arial"/>
          <w:color w:val="000000"/>
          <w:sz w:val="22"/>
          <w:szCs w:val="22"/>
          <w:highlight w:val="white"/>
        </w:rPr>
        <w:t>s and survivors. It is our policy to support those who have been trafficked with a victim-centered and trauma-informed approach.”</w:t>
      </w:r>
    </w:p>
    <w:p w:rsidR="00A16B8C" w:rsidRDefault="008C7BD9">
      <w:pPr>
        <w:numPr>
          <w:ilvl w:val="0"/>
          <w:numId w:val="4"/>
        </w:numPr>
        <w:rPr>
          <w:rFonts w:ascii="Arial" w:eastAsia="Arial" w:hAnsi="Arial" w:cs="Arial"/>
          <w:color w:val="000000"/>
          <w:sz w:val="22"/>
          <w:szCs w:val="22"/>
        </w:rPr>
      </w:pPr>
      <w:r>
        <w:rPr>
          <w:rFonts w:ascii="Arial" w:eastAsia="Arial" w:hAnsi="Arial" w:cs="Arial"/>
          <w:color w:val="000000"/>
          <w:sz w:val="22"/>
          <w:szCs w:val="22"/>
        </w:rPr>
        <w:t xml:space="preserve">Integrate human trafficking </w:t>
      </w:r>
      <w:r>
        <w:rPr>
          <w:rFonts w:ascii="Arial" w:eastAsia="Arial" w:hAnsi="Arial" w:cs="Arial"/>
          <w:sz w:val="22"/>
          <w:szCs w:val="22"/>
        </w:rPr>
        <w:t xml:space="preserve">identification and response </w:t>
      </w:r>
      <w:r>
        <w:rPr>
          <w:rFonts w:ascii="Arial" w:eastAsia="Arial" w:hAnsi="Arial" w:cs="Arial"/>
          <w:color w:val="000000"/>
          <w:sz w:val="22"/>
          <w:szCs w:val="22"/>
        </w:rPr>
        <w:t xml:space="preserve">into existing staff workflows </w:t>
      </w:r>
    </w:p>
    <w:p w:rsidR="00A16B8C" w:rsidRDefault="008C7BD9">
      <w:pPr>
        <w:numPr>
          <w:ilvl w:val="1"/>
          <w:numId w:val="4"/>
        </w:numPr>
        <w:rPr>
          <w:rFonts w:ascii="Arial" w:eastAsia="Arial" w:hAnsi="Arial" w:cs="Arial"/>
          <w:b/>
          <w:color w:val="000000"/>
          <w:sz w:val="27"/>
          <w:szCs w:val="27"/>
        </w:rPr>
      </w:pPr>
      <w:r>
        <w:rPr>
          <w:rFonts w:ascii="Arial" w:eastAsia="Arial" w:hAnsi="Arial" w:cs="Arial"/>
          <w:color w:val="000000"/>
          <w:sz w:val="22"/>
          <w:szCs w:val="22"/>
        </w:rPr>
        <w:t>Intake:</w:t>
      </w:r>
    </w:p>
    <w:p w:rsidR="00A16B8C" w:rsidRDefault="008C7BD9">
      <w:pPr>
        <w:numPr>
          <w:ilvl w:val="2"/>
          <w:numId w:val="4"/>
        </w:numPr>
        <w:rPr>
          <w:rFonts w:ascii="Arial" w:eastAsia="Arial" w:hAnsi="Arial" w:cs="Arial"/>
          <w:b/>
          <w:sz w:val="27"/>
          <w:szCs w:val="27"/>
        </w:rPr>
      </w:pPr>
      <w:r>
        <w:rPr>
          <w:rFonts w:ascii="Arial" w:eastAsia="Arial" w:hAnsi="Arial" w:cs="Arial"/>
          <w:color w:val="000000"/>
          <w:sz w:val="22"/>
          <w:szCs w:val="22"/>
        </w:rPr>
        <w:t>Apply a client-centered approach</w:t>
      </w:r>
    </w:p>
    <w:p w:rsidR="00A16B8C" w:rsidRDefault="008C7BD9">
      <w:pPr>
        <w:numPr>
          <w:ilvl w:val="2"/>
          <w:numId w:val="4"/>
        </w:numPr>
        <w:rPr>
          <w:rFonts w:ascii="Arial" w:eastAsia="Arial" w:hAnsi="Arial" w:cs="Arial"/>
          <w:b/>
          <w:sz w:val="27"/>
          <w:szCs w:val="27"/>
        </w:rPr>
      </w:pPr>
      <w:r>
        <w:rPr>
          <w:rFonts w:ascii="Arial" w:eastAsia="Arial" w:hAnsi="Arial" w:cs="Arial"/>
          <w:color w:val="000000"/>
          <w:sz w:val="22"/>
          <w:szCs w:val="22"/>
        </w:rPr>
        <w:t xml:space="preserve">Consider signs and indicators of human trafficking (refer to </w:t>
      </w:r>
      <w:r>
        <w:rPr>
          <w:rFonts w:ascii="Arial" w:eastAsia="Arial" w:hAnsi="Arial" w:cs="Arial"/>
          <w:sz w:val="22"/>
          <w:szCs w:val="22"/>
        </w:rPr>
        <w:t>“Identifying and Referring Human Trafficking Victims and Survivors: Red Flags for Title X Clinicians”</w:t>
      </w:r>
      <w:r>
        <w:rPr>
          <w:rFonts w:ascii="Arial" w:eastAsia="Arial" w:hAnsi="Arial" w:cs="Arial"/>
          <w:color w:val="000000"/>
          <w:sz w:val="22"/>
          <w:szCs w:val="22"/>
        </w:rPr>
        <w:t xml:space="preserve"> or </w:t>
      </w:r>
      <w:r>
        <w:rPr>
          <w:rFonts w:ascii="Arial" w:eastAsia="Arial" w:hAnsi="Arial" w:cs="Arial"/>
          <w:sz w:val="22"/>
          <w:szCs w:val="22"/>
        </w:rPr>
        <w:t xml:space="preserve">National Human Trafficking Hotline </w:t>
      </w:r>
      <w:r>
        <w:rPr>
          <w:rFonts w:ascii="Arial" w:eastAsia="Arial" w:hAnsi="Arial" w:cs="Arial"/>
          <w:color w:val="000000"/>
          <w:sz w:val="22"/>
          <w:szCs w:val="22"/>
        </w:rPr>
        <w:t>materials)</w:t>
      </w:r>
    </w:p>
    <w:p w:rsidR="00A16B8C" w:rsidRDefault="008C7BD9">
      <w:pPr>
        <w:numPr>
          <w:ilvl w:val="2"/>
          <w:numId w:val="4"/>
        </w:numPr>
        <w:spacing w:after="160"/>
        <w:rPr>
          <w:rFonts w:ascii="Arial" w:eastAsia="Arial" w:hAnsi="Arial" w:cs="Arial"/>
          <w:b/>
          <w:sz w:val="27"/>
          <w:szCs w:val="27"/>
        </w:rPr>
      </w:pPr>
      <w:r>
        <w:rPr>
          <w:rFonts w:ascii="Arial" w:eastAsia="Arial" w:hAnsi="Arial" w:cs="Arial"/>
          <w:color w:val="000000"/>
          <w:sz w:val="22"/>
          <w:szCs w:val="22"/>
        </w:rPr>
        <w:t>Maintain an</w:t>
      </w:r>
      <w:r>
        <w:rPr>
          <w:rFonts w:ascii="Arial" w:eastAsia="Arial" w:hAnsi="Arial" w:cs="Arial"/>
          <w:color w:val="000000"/>
          <w:sz w:val="22"/>
          <w:szCs w:val="22"/>
        </w:rPr>
        <w:t>d enforce clinic policy that patients spend time alone with their clinician during the assessment</w:t>
      </w:r>
    </w:p>
    <w:p w:rsidR="00A16B8C" w:rsidRDefault="008C7BD9">
      <w:pPr>
        <w:numPr>
          <w:ilvl w:val="1"/>
          <w:numId w:val="4"/>
        </w:numPr>
        <w:spacing w:before="240" w:after="120"/>
        <w:rPr>
          <w:rFonts w:ascii="Arial" w:eastAsia="Arial" w:hAnsi="Arial" w:cs="Arial"/>
          <w:b/>
          <w:color w:val="000000"/>
          <w:sz w:val="27"/>
          <w:szCs w:val="27"/>
        </w:rPr>
      </w:pPr>
      <w:r>
        <w:rPr>
          <w:rFonts w:ascii="Arial" w:eastAsia="Arial" w:hAnsi="Arial" w:cs="Arial"/>
          <w:color w:val="000000"/>
          <w:sz w:val="22"/>
          <w:szCs w:val="22"/>
        </w:rPr>
        <w:lastRenderedPageBreak/>
        <w:t>If signs and indicators are present during intake or clinical assessment, take three steps:</w:t>
      </w:r>
    </w:p>
    <w:p w:rsidR="00A16B8C" w:rsidRDefault="008C7BD9">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sz w:val="22"/>
          <w:szCs w:val="22"/>
        </w:rPr>
        <w:t>Notice red flags</w:t>
      </w:r>
    </w:p>
    <w:p w:rsidR="00A16B8C" w:rsidRDefault="008C7BD9">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22"/>
          <w:szCs w:val="22"/>
        </w:rPr>
        <w:t>Establish trust and safety</w:t>
      </w:r>
    </w:p>
    <w:p w:rsidR="00A16B8C" w:rsidRDefault="008C7BD9">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22"/>
          <w:szCs w:val="22"/>
        </w:rPr>
        <w:t>Take action</w:t>
      </w:r>
    </w:p>
    <w:p w:rsidR="00A16B8C" w:rsidRDefault="008C7BD9">
      <w:pPr>
        <w:ind w:left="1440"/>
        <w:rPr>
          <w:rFonts w:ascii="Arial" w:eastAsia="Arial" w:hAnsi="Arial" w:cs="Arial"/>
          <w:b/>
          <w:color w:val="000000"/>
          <w:sz w:val="22"/>
          <w:szCs w:val="22"/>
        </w:rPr>
      </w:pPr>
      <w:r>
        <w:rPr>
          <w:rFonts w:ascii="Arial" w:eastAsia="Arial" w:hAnsi="Arial" w:cs="Arial"/>
        </w:rPr>
        <w:br/>
      </w:r>
      <w:r>
        <w:rPr>
          <w:rFonts w:ascii="Arial" w:eastAsia="Arial" w:hAnsi="Arial" w:cs="Arial"/>
          <w:b/>
          <w:sz w:val="22"/>
          <w:szCs w:val="22"/>
        </w:rPr>
        <w:t>Step 1:</w:t>
      </w:r>
      <w:r>
        <w:rPr>
          <w:rFonts w:ascii="Arial" w:eastAsia="Arial" w:hAnsi="Arial" w:cs="Arial"/>
          <w:b/>
        </w:rPr>
        <w:t xml:space="preserve"> </w:t>
      </w:r>
      <w:r>
        <w:rPr>
          <w:rFonts w:ascii="Arial" w:eastAsia="Arial" w:hAnsi="Arial" w:cs="Arial"/>
          <w:b/>
          <w:sz w:val="22"/>
          <w:szCs w:val="22"/>
        </w:rPr>
        <w:t>N</w:t>
      </w:r>
      <w:r>
        <w:rPr>
          <w:rFonts w:ascii="Arial" w:eastAsia="Arial" w:hAnsi="Arial" w:cs="Arial"/>
          <w:b/>
          <w:sz w:val="22"/>
          <w:szCs w:val="22"/>
        </w:rPr>
        <w:t>otice red flags</w:t>
      </w:r>
    </w:p>
    <w:p w:rsidR="00A16B8C" w:rsidRDefault="008C7BD9">
      <w:pPr>
        <w:numPr>
          <w:ilvl w:val="0"/>
          <w:numId w:val="8"/>
        </w:numPr>
        <w:spacing w:before="120" w:after="200"/>
        <w:rPr>
          <w:rFonts w:ascii="Arial" w:eastAsia="Arial" w:hAnsi="Arial" w:cs="Arial"/>
          <w:sz w:val="22"/>
          <w:szCs w:val="22"/>
        </w:rPr>
      </w:pPr>
      <w:r>
        <w:rPr>
          <w:rFonts w:ascii="Arial" w:eastAsia="Arial" w:hAnsi="Arial" w:cs="Arial"/>
          <w:color w:val="000000"/>
          <w:sz w:val="22"/>
          <w:szCs w:val="22"/>
        </w:rPr>
        <w:t xml:space="preserve">Refer to </w:t>
      </w:r>
      <w:r>
        <w:rPr>
          <w:rFonts w:ascii="Arial" w:eastAsia="Arial" w:hAnsi="Arial" w:cs="Arial"/>
          <w:sz w:val="22"/>
          <w:szCs w:val="22"/>
        </w:rPr>
        <w:t xml:space="preserve">“Identifying and Referring Human Trafficking Victims and Survivors: Red Flags for Title X Clinicians” </w:t>
      </w:r>
    </w:p>
    <w:p w:rsidR="00A16B8C" w:rsidRDefault="008C7BD9">
      <w:pPr>
        <w:ind w:left="720" w:firstLine="720"/>
        <w:rPr>
          <w:rFonts w:ascii="Arial" w:eastAsia="Arial" w:hAnsi="Arial" w:cs="Arial"/>
          <w:color w:val="000000"/>
          <w:sz w:val="22"/>
          <w:szCs w:val="22"/>
        </w:rPr>
      </w:pPr>
      <w:r>
        <w:rPr>
          <w:rFonts w:ascii="Arial" w:eastAsia="Arial" w:hAnsi="Arial" w:cs="Arial"/>
          <w:b/>
          <w:sz w:val="22"/>
          <w:szCs w:val="22"/>
        </w:rPr>
        <w:t>Step 2: Establish trust and safety</w:t>
      </w:r>
    </w:p>
    <w:p w:rsidR="00A16B8C" w:rsidRDefault="008C7BD9">
      <w:pPr>
        <w:numPr>
          <w:ilvl w:val="0"/>
          <w:numId w:val="6"/>
        </w:numPr>
        <w:rPr>
          <w:rFonts w:ascii="Arial" w:eastAsia="Arial" w:hAnsi="Arial" w:cs="Arial"/>
          <w:color w:val="000000"/>
          <w:sz w:val="22"/>
          <w:szCs w:val="22"/>
        </w:rPr>
      </w:pPr>
      <w:r>
        <w:rPr>
          <w:rFonts w:ascii="Arial" w:eastAsia="Arial" w:hAnsi="Arial" w:cs="Arial"/>
          <w:sz w:val="22"/>
          <w:szCs w:val="22"/>
        </w:rPr>
        <w:t xml:space="preserve">Build trust by demonstrating warmth, care, and non-judgemental interest and concern </w:t>
      </w:r>
    </w:p>
    <w:p w:rsidR="00A16B8C" w:rsidRDefault="008C7BD9">
      <w:pPr>
        <w:numPr>
          <w:ilvl w:val="0"/>
          <w:numId w:val="6"/>
        </w:numPr>
        <w:rPr>
          <w:rFonts w:ascii="Arial" w:eastAsia="Arial" w:hAnsi="Arial" w:cs="Arial"/>
          <w:color w:val="000000"/>
          <w:sz w:val="22"/>
          <w:szCs w:val="22"/>
        </w:rPr>
      </w:pPr>
      <w:r>
        <w:rPr>
          <w:rFonts w:ascii="Arial" w:eastAsia="Arial" w:hAnsi="Arial" w:cs="Arial"/>
          <w:sz w:val="22"/>
          <w:szCs w:val="22"/>
        </w:rPr>
        <w:t>Ensure client has time alone with providers and access to language interpretation</w:t>
      </w:r>
    </w:p>
    <w:p w:rsidR="00A16B8C" w:rsidRDefault="008C7BD9">
      <w:pPr>
        <w:numPr>
          <w:ilvl w:val="0"/>
          <w:numId w:val="6"/>
        </w:numPr>
        <w:rPr>
          <w:rFonts w:ascii="Arial" w:eastAsia="Arial" w:hAnsi="Arial" w:cs="Arial"/>
          <w:color w:val="000000"/>
          <w:sz w:val="22"/>
          <w:szCs w:val="22"/>
        </w:rPr>
      </w:pPr>
      <w:r>
        <w:rPr>
          <w:rFonts w:ascii="Arial" w:eastAsia="Arial" w:hAnsi="Arial" w:cs="Arial"/>
          <w:sz w:val="22"/>
          <w:szCs w:val="22"/>
        </w:rPr>
        <w:t xml:space="preserve">Leverage your expertise to carry out patient-centered screening for violence, including intimate partner violence, trafficking, and sexual or physical violence </w:t>
      </w:r>
    </w:p>
    <w:p w:rsidR="00A16B8C" w:rsidRDefault="008C7BD9">
      <w:pPr>
        <w:numPr>
          <w:ilvl w:val="0"/>
          <w:numId w:val="6"/>
        </w:numPr>
        <w:rPr>
          <w:rFonts w:ascii="Arial" w:eastAsia="Arial" w:hAnsi="Arial" w:cs="Arial"/>
          <w:color w:val="000000"/>
          <w:sz w:val="22"/>
          <w:szCs w:val="22"/>
        </w:rPr>
      </w:pPr>
      <w:r>
        <w:rPr>
          <w:rFonts w:ascii="Arial" w:eastAsia="Arial" w:hAnsi="Arial" w:cs="Arial"/>
          <w:sz w:val="22"/>
          <w:szCs w:val="22"/>
        </w:rPr>
        <w:t>Refer to exis</w:t>
      </w:r>
      <w:r>
        <w:rPr>
          <w:rFonts w:ascii="Arial" w:eastAsia="Arial" w:hAnsi="Arial" w:cs="Arial"/>
          <w:sz w:val="22"/>
          <w:szCs w:val="22"/>
        </w:rPr>
        <w:t xml:space="preserve">ting institutional protocols for victims of violence </w:t>
      </w:r>
    </w:p>
    <w:p w:rsidR="00A16B8C" w:rsidRDefault="008C7BD9">
      <w:pPr>
        <w:numPr>
          <w:ilvl w:val="1"/>
          <w:numId w:val="6"/>
        </w:numPr>
        <w:rPr>
          <w:rFonts w:ascii="Arial" w:eastAsia="Arial" w:hAnsi="Arial" w:cs="Arial"/>
          <w:color w:val="000000"/>
          <w:sz w:val="22"/>
          <w:szCs w:val="22"/>
        </w:rPr>
      </w:pPr>
      <w:r>
        <w:rPr>
          <w:rFonts w:ascii="Arial" w:eastAsia="Arial" w:hAnsi="Arial" w:cs="Arial"/>
          <w:color w:val="000000"/>
          <w:sz w:val="22"/>
          <w:szCs w:val="22"/>
        </w:rPr>
        <w:t>Remember: while human trafficking is a distinct federal crime, victims may experience trafficking as intimate partner violence, sexual assault, or child sexual abuse </w:t>
      </w:r>
    </w:p>
    <w:p w:rsidR="00A16B8C" w:rsidRDefault="008C7BD9">
      <w:pPr>
        <w:numPr>
          <w:ilvl w:val="0"/>
          <w:numId w:val="6"/>
        </w:numPr>
      </w:pPr>
      <w:r>
        <w:rPr>
          <w:rFonts w:ascii="Arial" w:eastAsia="Arial" w:hAnsi="Arial" w:cs="Arial"/>
          <w:color w:val="000000"/>
          <w:sz w:val="22"/>
          <w:szCs w:val="22"/>
        </w:rPr>
        <w:t>Be aware of incremental disclosure issues in human trafficking, similar to those in intimate partner violence or other abuse experiences</w:t>
      </w:r>
    </w:p>
    <w:p w:rsidR="00A16B8C" w:rsidRDefault="008C7BD9">
      <w:pPr>
        <w:numPr>
          <w:ilvl w:val="0"/>
          <w:numId w:val="6"/>
        </w:numPr>
        <w:spacing w:after="160"/>
        <w:rPr>
          <w:rFonts w:ascii="Arial" w:eastAsia="Arial" w:hAnsi="Arial" w:cs="Arial"/>
          <w:i/>
          <w:sz w:val="22"/>
          <w:szCs w:val="22"/>
        </w:rPr>
      </w:pPr>
      <w:r>
        <w:rPr>
          <w:rFonts w:ascii="Arial" w:eastAsia="Arial" w:hAnsi="Arial" w:cs="Arial"/>
          <w:i/>
          <w:sz w:val="22"/>
          <w:szCs w:val="22"/>
        </w:rPr>
        <w:t>It is important to obtain client permission and consent before disclosing any personal information to others, including</w:t>
      </w:r>
      <w:r>
        <w:rPr>
          <w:rFonts w:ascii="Arial" w:eastAsia="Arial" w:hAnsi="Arial" w:cs="Arial"/>
          <w:i/>
          <w:sz w:val="22"/>
          <w:szCs w:val="22"/>
        </w:rPr>
        <w:t xml:space="preserve"> service providers.</w:t>
      </w:r>
    </w:p>
    <w:p w:rsidR="00A16B8C" w:rsidRDefault="008C7BD9">
      <w:pPr>
        <w:spacing w:before="80" w:after="80"/>
        <w:ind w:left="1440"/>
        <w:rPr>
          <w:rFonts w:ascii="Arial" w:eastAsia="Arial" w:hAnsi="Arial" w:cs="Arial"/>
          <w:b/>
          <w:sz w:val="22"/>
          <w:szCs w:val="22"/>
        </w:rPr>
      </w:pPr>
      <w:r>
        <w:rPr>
          <w:rFonts w:ascii="Arial" w:eastAsia="Arial" w:hAnsi="Arial" w:cs="Arial"/>
          <w:b/>
          <w:sz w:val="22"/>
          <w:szCs w:val="22"/>
        </w:rPr>
        <w:t xml:space="preserve">Step 3: </w:t>
      </w:r>
      <w:r>
        <w:rPr>
          <w:rFonts w:ascii="Arial" w:eastAsia="Arial" w:hAnsi="Arial" w:cs="Arial"/>
          <w:b/>
          <w:color w:val="000000"/>
          <w:sz w:val="22"/>
          <w:szCs w:val="22"/>
        </w:rPr>
        <w:t>Take action</w:t>
      </w:r>
    </w:p>
    <w:p w:rsidR="00A16B8C" w:rsidRDefault="008C7BD9">
      <w:pPr>
        <w:numPr>
          <w:ilvl w:val="0"/>
          <w:numId w:val="7"/>
        </w:numPr>
        <w:rPr>
          <w:rFonts w:ascii="Arial" w:eastAsia="Arial" w:hAnsi="Arial" w:cs="Arial"/>
          <w:sz w:val="22"/>
          <w:szCs w:val="22"/>
        </w:rPr>
      </w:pPr>
      <w:r>
        <w:rPr>
          <w:rFonts w:ascii="Arial" w:eastAsia="Arial" w:hAnsi="Arial" w:cs="Arial"/>
          <w:sz w:val="22"/>
          <w:szCs w:val="22"/>
        </w:rPr>
        <w:t>Follow your institutional policies for reporting to law enforcement in situations of immediate danger</w:t>
      </w:r>
    </w:p>
    <w:p w:rsidR="00A16B8C" w:rsidRDefault="008C7BD9">
      <w:pPr>
        <w:numPr>
          <w:ilvl w:val="0"/>
          <w:numId w:val="7"/>
        </w:numPr>
        <w:rPr>
          <w:rFonts w:ascii="Arial" w:eastAsia="Arial" w:hAnsi="Arial" w:cs="Arial"/>
          <w:color w:val="000000"/>
          <w:sz w:val="22"/>
          <w:szCs w:val="22"/>
        </w:rPr>
      </w:pPr>
      <w:r>
        <w:rPr>
          <w:rFonts w:ascii="Arial" w:eastAsia="Arial" w:hAnsi="Arial" w:cs="Arial"/>
          <w:sz w:val="22"/>
          <w:szCs w:val="22"/>
        </w:rPr>
        <w:t xml:space="preserve">Consult agency protocols for human trafficking and mandatory reporting </w:t>
      </w:r>
    </w:p>
    <w:p w:rsidR="00A16B8C" w:rsidRDefault="008C7BD9">
      <w:pPr>
        <w:numPr>
          <w:ilvl w:val="0"/>
          <w:numId w:val="7"/>
        </w:numPr>
        <w:rPr>
          <w:rFonts w:ascii="Arial" w:eastAsia="Arial" w:hAnsi="Arial" w:cs="Arial"/>
          <w:color w:val="000000"/>
          <w:sz w:val="22"/>
          <w:szCs w:val="22"/>
        </w:rPr>
      </w:pPr>
      <w:r>
        <w:rPr>
          <w:rFonts w:ascii="Arial" w:eastAsia="Arial" w:hAnsi="Arial" w:cs="Arial"/>
          <w:sz w:val="22"/>
          <w:szCs w:val="22"/>
        </w:rPr>
        <w:t>Call the National Human Trafficking Hotlin</w:t>
      </w:r>
      <w:r>
        <w:rPr>
          <w:rFonts w:ascii="Arial" w:eastAsia="Arial" w:hAnsi="Arial" w:cs="Arial"/>
          <w:sz w:val="22"/>
          <w:szCs w:val="22"/>
        </w:rPr>
        <w:t>e at 1-888-373-7888 or text BEFREE (233733) for additional support and referrals</w:t>
      </w:r>
    </w:p>
    <w:p w:rsidR="00A16B8C" w:rsidRDefault="008C7BD9">
      <w:pPr>
        <w:numPr>
          <w:ilvl w:val="1"/>
          <w:numId w:val="7"/>
        </w:numPr>
        <w:rPr>
          <w:rFonts w:ascii="Arial" w:eastAsia="Arial" w:hAnsi="Arial" w:cs="Arial"/>
          <w:sz w:val="22"/>
          <w:szCs w:val="22"/>
        </w:rPr>
      </w:pPr>
      <w:r>
        <w:rPr>
          <w:rFonts w:ascii="Arial" w:eastAsia="Arial" w:hAnsi="Arial" w:cs="Arial"/>
          <w:sz w:val="22"/>
          <w:szCs w:val="22"/>
        </w:rPr>
        <w:t>The National Human Trafficking Hotline can support clinicians and staff through patient assessment and shared decision-making with the patient about best next steps</w:t>
      </w:r>
    </w:p>
    <w:p w:rsidR="00A16B8C" w:rsidRDefault="008C7BD9">
      <w:pPr>
        <w:numPr>
          <w:ilvl w:val="1"/>
          <w:numId w:val="7"/>
        </w:numPr>
        <w:rPr>
          <w:rFonts w:ascii="Arial" w:eastAsia="Arial" w:hAnsi="Arial" w:cs="Arial"/>
          <w:sz w:val="22"/>
          <w:szCs w:val="22"/>
        </w:rPr>
      </w:pPr>
      <w:r>
        <w:rPr>
          <w:rFonts w:ascii="Arial" w:eastAsia="Arial" w:hAnsi="Arial" w:cs="Arial"/>
          <w:sz w:val="22"/>
          <w:szCs w:val="22"/>
        </w:rPr>
        <w:t>Call local</w:t>
      </w:r>
      <w:r>
        <w:rPr>
          <w:rFonts w:ascii="Arial" w:eastAsia="Arial" w:hAnsi="Arial" w:cs="Arial"/>
          <w:sz w:val="22"/>
          <w:szCs w:val="22"/>
        </w:rPr>
        <w:t xml:space="preserve"> anti-trafficking organizations </w:t>
      </w:r>
      <w:r>
        <w:rPr>
          <w:rFonts w:ascii="Arial" w:eastAsia="Arial" w:hAnsi="Arial" w:cs="Arial"/>
          <w:b/>
          <w:sz w:val="22"/>
          <w:szCs w:val="22"/>
        </w:rPr>
        <w:t>(</w:t>
      </w:r>
      <w:r>
        <w:rPr>
          <w:rFonts w:ascii="Arial" w:eastAsia="Arial" w:hAnsi="Arial" w:cs="Arial"/>
          <w:b/>
          <w:i/>
          <w:sz w:val="22"/>
          <w:szCs w:val="22"/>
        </w:rPr>
        <w:t>insert names and contact info here</w:t>
      </w:r>
      <w:r>
        <w:rPr>
          <w:rFonts w:ascii="Arial" w:eastAsia="Arial" w:hAnsi="Arial" w:cs="Arial"/>
          <w:b/>
          <w:sz w:val="22"/>
          <w:szCs w:val="22"/>
        </w:rPr>
        <w:t>)</w:t>
      </w:r>
    </w:p>
    <w:p w:rsidR="00A16B8C" w:rsidRDefault="008C7BD9">
      <w:pPr>
        <w:numPr>
          <w:ilvl w:val="1"/>
          <w:numId w:val="7"/>
        </w:numPr>
        <w:rPr>
          <w:rFonts w:ascii="Arial" w:eastAsia="Arial" w:hAnsi="Arial" w:cs="Arial"/>
          <w:sz w:val="22"/>
          <w:szCs w:val="22"/>
        </w:rPr>
      </w:pPr>
      <w:r>
        <w:rPr>
          <w:rFonts w:ascii="Arial" w:eastAsia="Arial" w:hAnsi="Arial" w:cs="Arial"/>
          <w:sz w:val="22"/>
          <w:szCs w:val="22"/>
        </w:rPr>
        <w:t xml:space="preserve">If it becomes necessary to file a mandatory report, follow best practices for involving and empowering clients </w:t>
      </w:r>
    </w:p>
    <w:p w:rsidR="00A16B8C" w:rsidRDefault="008C7BD9">
      <w:pPr>
        <w:numPr>
          <w:ilvl w:val="0"/>
          <w:numId w:val="7"/>
        </w:numPr>
        <w:rPr>
          <w:rFonts w:ascii="Arial" w:eastAsia="Arial" w:hAnsi="Arial" w:cs="Arial"/>
          <w:color w:val="000000"/>
          <w:sz w:val="22"/>
          <w:szCs w:val="22"/>
        </w:rPr>
      </w:pPr>
      <w:r>
        <w:rPr>
          <w:rFonts w:ascii="Arial" w:eastAsia="Arial" w:hAnsi="Arial" w:cs="Arial"/>
          <w:sz w:val="22"/>
          <w:szCs w:val="22"/>
        </w:rPr>
        <w:t>Follow up on the client’s case. A potential victim may require fulfillment of some basic needs—such as food, clothing, or temporary shelter—in order to take next steps, and may not be ready to accept help right away.</w:t>
      </w:r>
      <w:r>
        <w:br w:type="page"/>
      </w:r>
    </w:p>
    <w:p w:rsidR="00A16B8C" w:rsidRDefault="008C7BD9">
      <w:pPr>
        <w:spacing w:after="120"/>
        <w:rPr>
          <w:rFonts w:ascii="Arial" w:eastAsia="Arial" w:hAnsi="Arial" w:cs="Arial"/>
          <w:b/>
          <w:sz w:val="36"/>
          <w:szCs w:val="36"/>
        </w:rPr>
      </w:pPr>
      <w:r>
        <w:rPr>
          <w:rFonts w:ascii="Arial" w:eastAsia="Arial" w:hAnsi="Arial" w:cs="Arial"/>
          <w:b/>
          <w:i/>
          <w:color w:val="0064B1"/>
          <w:sz w:val="22"/>
          <w:szCs w:val="22"/>
        </w:rPr>
        <w:lastRenderedPageBreak/>
        <w:t>Note About The National Human Traffick</w:t>
      </w:r>
      <w:r>
        <w:rPr>
          <w:rFonts w:ascii="Arial" w:eastAsia="Arial" w:hAnsi="Arial" w:cs="Arial"/>
          <w:b/>
          <w:i/>
          <w:color w:val="0064B1"/>
          <w:sz w:val="22"/>
          <w:szCs w:val="22"/>
        </w:rPr>
        <w:t>ing Hotline</w:t>
      </w:r>
    </w:p>
    <w:p w:rsidR="00A16B8C" w:rsidRDefault="008C7BD9">
      <w:pPr>
        <w:spacing w:after="160"/>
        <w:rPr>
          <w:rFonts w:ascii="Arial" w:eastAsia="Arial" w:hAnsi="Arial" w:cs="Arial"/>
        </w:rPr>
      </w:pPr>
      <w:r>
        <w:rPr>
          <w:rFonts w:ascii="Arial" w:eastAsia="Arial" w:hAnsi="Arial" w:cs="Arial"/>
          <w:color w:val="000000"/>
          <w:sz w:val="22"/>
          <w:szCs w:val="22"/>
        </w:rPr>
        <w:t>The National Human Trafficking Hotline offers confidential, round-the-clock access to a safe space to report tips, seek services, and ask for help. The Hotline is operated 24/7 and has access to more than 200 languages through a tele-interpreti</w:t>
      </w:r>
      <w:r>
        <w:rPr>
          <w:rFonts w:ascii="Arial" w:eastAsia="Arial" w:hAnsi="Arial" w:cs="Arial"/>
          <w:color w:val="000000"/>
          <w:sz w:val="22"/>
          <w:szCs w:val="22"/>
        </w:rPr>
        <w:t>ng service. </w:t>
      </w:r>
    </w:p>
    <w:p w:rsidR="00A16B8C" w:rsidRDefault="008C7BD9">
      <w:pPr>
        <w:spacing w:after="160"/>
        <w:rPr>
          <w:rFonts w:ascii="Arial" w:eastAsia="Arial" w:hAnsi="Arial" w:cs="Arial"/>
        </w:rPr>
      </w:pPr>
      <w:r>
        <w:rPr>
          <w:rFonts w:ascii="Arial" w:eastAsia="Arial" w:hAnsi="Arial" w:cs="Arial"/>
          <w:color w:val="000000"/>
          <w:sz w:val="22"/>
          <w:szCs w:val="22"/>
        </w:rPr>
        <w:t>All communications with the National Human Trafficking Hotline are strictly confidential to the extent permitted by law, and callers need not disclose personal information to access services. The Hotline can also be used by health care institu</w:t>
      </w:r>
      <w:r>
        <w:rPr>
          <w:rFonts w:ascii="Arial" w:eastAsia="Arial" w:hAnsi="Arial" w:cs="Arial"/>
          <w:color w:val="000000"/>
          <w:sz w:val="22"/>
          <w:szCs w:val="22"/>
        </w:rPr>
        <w:t>tions to help identify and connect clients with existing resources in their area or to guide providers through human trafficking assessments. </w:t>
      </w:r>
    </w:p>
    <w:p w:rsidR="00A16B8C" w:rsidRDefault="008C7BD9">
      <w:pPr>
        <w:spacing w:after="160"/>
        <w:rPr>
          <w:rFonts w:ascii="Arial" w:eastAsia="Arial" w:hAnsi="Arial" w:cs="Arial"/>
        </w:rPr>
      </w:pPr>
      <w:r>
        <w:rPr>
          <w:rFonts w:ascii="Arial" w:eastAsia="Arial" w:hAnsi="Arial" w:cs="Arial"/>
          <w:color w:val="000000"/>
          <w:sz w:val="22"/>
          <w:szCs w:val="22"/>
        </w:rPr>
        <w:t>The National Human Trafficking Hotline maintains a database of service providers and resources throughout the Uni</w:t>
      </w:r>
      <w:r>
        <w:rPr>
          <w:rFonts w:ascii="Arial" w:eastAsia="Arial" w:hAnsi="Arial" w:cs="Arial"/>
          <w:color w:val="000000"/>
          <w:sz w:val="22"/>
          <w:szCs w:val="22"/>
        </w:rPr>
        <w:t xml:space="preserve">ted States; this database is available </w:t>
      </w:r>
      <w:hyperlink r:id="rId8">
        <w:r>
          <w:rPr>
            <w:rFonts w:ascii="Arial" w:eastAsia="Arial" w:hAnsi="Arial" w:cs="Arial"/>
            <w:color w:val="1155CC"/>
            <w:sz w:val="22"/>
            <w:szCs w:val="22"/>
            <w:u w:val="single"/>
          </w:rPr>
          <w:t>here</w:t>
        </w:r>
      </w:hyperlink>
      <w:r>
        <w:rPr>
          <w:rFonts w:ascii="Arial" w:eastAsia="Arial" w:hAnsi="Arial" w:cs="Arial"/>
          <w:color w:val="000000"/>
          <w:sz w:val="22"/>
          <w:szCs w:val="22"/>
        </w:rPr>
        <w:t>.</w:t>
      </w:r>
    </w:p>
    <w:p w:rsidR="00A16B8C" w:rsidRDefault="008C7BD9">
      <w:pPr>
        <w:spacing w:after="160"/>
        <w:rPr>
          <w:rFonts w:ascii="Arial" w:eastAsia="Arial" w:hAnsi="Arial" w:cs="Arial"/>
        </w:rPr>
      </w:pPr>
      <w:r>
        <w:rPr>
          <w:rFonts w:ascii="Arial" w:eastAsia="Arial" w:hAnsi="Arial" w:cs="Arial"/>
          <w:color w:val="000000"/>
          <w:sz w:val="22"/>
          <w:szCs w:val="22"/>
        </w:rPr>
        <w:t xml:space="preserve">Contacting the Hotline will not fulfill mandatory reporting requirements, but it can facilitate </w:t>
      </w:r>
      <w:r>
        <w:rPr>
          <w:rFonts w:ascii="Arial" w:eastAsia="Arial" w:hAnsi="Arial" w:cs="Arial"/>
          <w:color w:val="000000"/>
          <w:sz w:val="22"/>
          <w:szCs w:val="22"/>
        </w:rPr>
        <w:br/>
        <w:t>a report to specializ</w:t>
      </w:r>
      <w:r>
        <w:rPr>
          <w:rFonts w:ascii="Arial" w:eastAsia="Arial" w:hAnsi="Arial" w:cs="Arial"/>
          <w:color w:val="000000"/>
          <w:sz w:val="22"/>
          <w:szCs w:val="22"/>
        </w:rPr>
        <w:t xml:space="preserve">ed law enforcement trained to handle human trafficking cases. When </w:t>
      </w:r>
      <w:r>
        <w:rPr>
          <w:rFonts w:ascii="Arial" w:eastAsia="Arial" w:hAnsi="Arial" w:cs="Arial"/>
          <w:color w:val="000000"/>
          <w:sz w:val="22"/>
          <w:szCs w:val="22"/>
        </w:rPr>
        <w:br/>
        <w:t xml:space="preserve">working with adults who have been trafficked, Title X providers must follow state and federal confidentiality and mandatory reporting rules. </w:t>
      </w:r>
    </w:p>
    <w:p w:rsidR="00A16B8C" w:rsidRDefault="00A16B8C">
      <w:pPr>
        <w:rPr>
          <w:rFonts w:ascii="Arial" w:eastAsia="Arial" w:hAnsi="Arial" w:cs="Arial"/>
        </w:rPr>
      </w:pPr>
    </w:p>
    <w:p w:rsidR="00A16B8C" w:rsidRDefault="00A16B8C">
      <w:pPr>
        <w:rPr>
          <w:rFonts w:ascii="Arial" w:eastAsia="Arial" w:hAnsi="Arial" w:cs="Arial"/>
        </w:rPr>
      </w:pPr>
    </w:p>
    <w:sectPr w:rsidR="00A16B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A25"/>
    <w:multiLevelType w:val="multilevel"/>
    <w:tmpl w:val="F7A2B2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1A0DDC"/>
    <w:multiLevelType w:val="multilevel"/>
    <w:tmpl w:val="B118875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77C4B4F"/>
    <w:multiLevelType w:val="multilevel"/>
    <w:tmpl w:val="BC327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8A6025B"/>
    <w:multiLevelType w:val="multilevel"/>
    <w:tmpl w:val="35A201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3F4B6D88"/>
    <w:multiLevelType w:val="multilevel"/>
    <w:tmpl w:val="829AF47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54AC0A76"/>
    <w:multiLevelType w:val="multilevel"/>
    <w:tmpl w:val="1B1448C0"/>
    <w:lvl w:ilvl="0">
      <w:start w:val="1"/>
      <w:numFmt w:val="decimal"/>
      <w:lvlText w:val="%1."/>
      <w:lvlJc w:val="left"/>
      <w:pPr>
        <w:ind w:left="2520" w:hanging="360"/>
      </w:pPr>
      <w:rPr>
        <w:sz w:val="22"/>
        <w:szCs w:val="22"/>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 w15:restartNumberingAfterBreak="0">
    <w:nsid w:val="5BC5627C"/>
    <w:multiLevelType w:val="multilevel"/>
    <w:tmpl w:val="075A4F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u w:val="none"/>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D1023E8"/>
    <w:multiLevelType w:val="multilevel"/>
    <w:tmpl w:val="8B280D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0"/>
  </w:num>
  <w:num w:numId="3">
    <w:abstractNumId w:val="2"/>
  </w:num>
  <w:num w:numId="4">
    <w:abstractNumId w:val="6"/>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8C"/>
    <w:rsid w:val="008C7BD9"/>
    <w:rsid w:val="00A1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54863-F224-4213-ADCC-E7326C99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696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12696C"/>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semiHidden/>
    <w:unhideWhenUsed/>
    <w:qFormat/>
    <w:rsid w:val="0012696C"/>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2696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696C"/>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12696C"/>
    <w:rPr>
      <w:rFonts w:ascii="Times New Roman" w:hAnsi="Times New Roman" w:cs="Times New Roman"/>
      <w:b/>
      <w:bCs/>
      <w:sz w:val="27"/>
      <w:szCs w:val="27"/>
    </w:rPr>
  </w:style>
  <w:style w:type="paragraph" w:styleId="NormalWeb">
    <w:name w:val="Normal (Web)"/>
    <w:basedOn w:val="Normal"/>
    <w:uiPriority w:val="99"/>
    <w:semiHidden/>
    <w:unhideWhenUsed/>
    <w:rsid w:val="0012696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2696C"/>
    <w:rPr>
      <w:color w:val="0000FF"/>
      <w:u w:val="single"/>
    </w:rPr>
  </w:style>
  <w:style w:type="character" w:styleId="CommentReference">
    <w:name w:val="annotation reference"/>
    <w:basedOn w:val="DefaultParagraphFont"/>
    <w:uiPriority w:val="99"/>
    <w:semiHidden/>
    <w:unhideWhenUsed/>
    <w:rsid w:val="00635E73"/>
    <w:rPr>
      <w:sz w:val="18"/>
      <w:szCs w:val="18"/>
    </w:rPr>
  </w:style>
  <w:style w:type="paragraph" w:styleId="CommentText">
    <w:name w:val="annotation text"/>
    <w:basedOn w:val="Normal"/>
    <w:link w:val="CommentTextChar"/>
    <w:uiPriority w:val="99"/>
    <w:semiHidden/>
    <w:unhideWhenUsed/>
    <w:rsid w:val="00635E73"/>
  </w:style>
  <w:style w:type="character" w:customStyle="1" w:styleId="CommentTextChar">
    <w:name w:val="Comment Text Char"/>
    <w:basedOn w:val="DefaultParagraphFont"/>
    <w:link w:val="CommentText"/>
    <w:uiPriority w:val="99"/>
    <w:semiHidden/>
    <w:rsid w:val="00635E73"/>
  </w:style>
  <w:style w:type="paragraph" w:styleId="CommentSubject">
    <w:name w:val="annotation subject"/>
    <w:basedOn w:val="CommentText"/>
    <w:next w:val="CommentText"/>
    <w:link w:val="CommentSubjectChar"/>
    <w:uiPriority w:val="99"/>
    <w:semiHidden/>
    <w:unhideWhenUsed/>
    <w:rsid w:val="00635E73"/>
    <w:rPr>
      <w:b/>
      <w:bCs/>
      <w:sz w:val="20"/>
      <w:szCs w:val="20"/>
    </w:rPr>
  </w:style>
  <w:style w:type="character" w:customStyle="1" w:styleId="CommentSubjectChar">
    <w:name w:val="Comment Subject Char"/>
    <w:basedOn w:val="CommentTextChar"/>
    <w:link w:val="CommentSubject"/>
    <w:uiPriority w:val="99"/>
    <w:semiHidden/>
    <w:rsid w:val="00635E73"/>
    <w:rPr>
      <w:b/>
      <w:bCs/>
      <w:sz w:val="20"/>
      <w:szCs w:val="20"/>
    </w:rPr>
  </w:style>
  <w:style w:type="paragraph" w:styleId="BalloonText">
    <w:name w:val="Balloon Text"/>
    <w:basedOn w:val="Normal"/>
    <w:link w:val="BalloonTextChar"/>
    <w:uiPriority w:val="99"/>
    <w:semiHidden/>
    <w:unhideWhenUsed/>
    <w:rsid w:val="00635E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5E73"/>
    <w:rPr>
      <w:rFonts w:ascii="Times New Roman" w:hAnsi="Times New Roman" w:cs="Times New Roman"/>
      <w:sz w:val="18"/>
      <w:szCs w:val="18"/>
    </w:rPr>
  </w:style>
  <w:style w:type="paragraph" w:styleId="Revision">
    <w:name w:val="Revision"/>
    <w:hidden/>
    <w:uiPriority w:val="99"/>
    <w:semiHidden/>
    <w:rsid w:val="00635E73"/>
  </w:style>
  <w:style w:type="paragraph" w:styleId="ListParagraph">
    <w:name w:val="List Paragraph"/>
    <w:basedOn w:val="Normal"/>
    <w:uiPriority w:val="34"/>
    <w:qFormat/>
    <w:rsid w:val="00863FD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customStyle="1" w:styleId="UnresolvedMention">
    <w:name w:val="Unresolved Mention"/>
    <w:basedOn w:val="DefaultParagraphFont"/>
    <w:uiPriority w:val="99"/>
    <w:semiHidden/>
    <w:unhideWhenUsed/>
    <w:rsid w:val="003069D4"/>
    <w:rPr>
      <w:color w:val="605E5C"/>
      <w:shd w:val="clear" w:color="auto" w:fill="E1DFDD"/>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humantraffickinghotline.org/training-resources/referral-directory" TargetMode="External"/><Relationship Id="rId3" Type="http://schemas.openxmlformats.org/officeDocument/2006/relationships/styles" Target="styles.xml"/><Relationship Id="rId7" Type="http://schemas.openxmlformats.org/officeDocument/2006/relationships/hyperlink" Target="https://www.acf.hhs.gov/otip/training/nhtt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umantraffickinghotlin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H5Iw7lCUDaf3WrDqi9+vmxPgcw==">AMUW2mUUiUgaQJpTjzbp8BUU5rn0YcHMU04sbMo6rKd7cwvNdSCl/I2UYjJHaORS/YYgsPDVIy+copQ7ofbs/mThjraPZl4wrRJoWo9XbVSJnyxtM7Iu6isADZoZLV8BGpQrzzSH1RzX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Jones</dc:creator>
  <cp:lastModifiedBy>Jessie Daigneault</cp:lastModifiedBy>
  <cp:revision>2</cp:revision>
  <dcterms:created xsi:type="dcterms:W3CDTF">2021-11-19T16:35:00Z</dcterms:created>
  <dcterms:modified xsi:type="dcterms:W3CDTF">2021-11-19T16:35:00Z</dcterms:modified>
</cp:coreProperties>
</file>