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7D" w:rsidRDefault="003F016E">
      <w:pPr>
        <w:spacing w:after="160" w:line="240" w:lineRule="auto"/>
        <w:jc w:val="center"/>
        <w:rPr>
          <w:rFonts w:ascii="Arial" w:eastAsia="Arial" w:hAnsi="Arial" w:cs="Arial"/>
          <w:i/>
          <w:sz w:val="28"/>
          <w:szCs w:val="28"/>
          <w:highlight w:val="yellow"/>
        </w:rPr>
      </w:pPr>
      <w:bookmarkStart w:id="0" w:name="_GoBack"/>
      <w:bookmarkEnd w:id="0"/>
      <w:r>
        <w:rPr>
          <w:rFonts w:ascii="Arial" w:eastAsia="Arial" w:hAnsi="Arial" w:cs="Arial"/>
          <w:i/>
          <w:sz w:val="28"/>
          <w:szCs w:val="28"/>
        </w:rPr>
        <w:t>[INSERT AGENCY NAME AND LOGO]</w:t>
      </w:r>
    </w:p>
    <w:p w:rsidR="00D10B7D" w:rsidRDefault="003F016E">
      <w:pPr>
        <w:pStyle w:val="Heading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FAMILY PLANNING PROGRAM POLICY AND PROCEDURES</w:t>
      </w:r>
    </w:p>
    <w:p w:rsidR="00D10B7D" w:rsidRDefault="003F016E">
      <w:pPr>
        <w:pStyle w:val="Heading2"/>
        <w:spacing w:before="160" w:after="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Provision of Medical Services Related to Family Planning</w:t>
      </w:r>
    </w:p>
    <w:p w:rsidR="00D10B7D" w:rsidRDefault="003F016E">
      <w:pP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 X projects must provide for medical services related to family planning (including consultation by a clinical services provider, examination, prescription and continuing supervision, laboratory examination, contraceptive supplies), in person or via t</w:t>
      </w:r>
      <w:r>
        <w:rPr>
          <w:rFonts w:ascii="Arial" w:eastAsia="Arial" w:hAnsi="Arial" w:cs="Arial"/>
        </w:rPr>
        <w:t>elehealth, and necessary referral to other medical facilities when medically indicated, and provide for the effective usage of contraceptive devices and practices (42 CFR 59.5(b)(1-2)).</w:t>
      </w:r>
    </w:p>
    <w:tbl>
      <w:tblPr>
        <w:tblStyle w:val="a0"/>
        <w:tblW w:w="946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2280"/>
        <w:gridCol w:w="7185"/>
      </w:tblGrid>
      <w:tr w:rsidR="00D10B7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</w:rPr>
              <w:t>Policy Title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Provision of Family Planning and Related Services</w:t>
            </w:r>
          </w:p>
        </w:tc>
      </w:tr>
      <w:tr w:rsidR="00D10B7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Effect</w:t>
            </w:r>
            <w:r>
              <w:rPr>
                <w:rFonts w:ascii="Arial" w:eastAsia="Arial" w:hAnsi="Arial" w:cs="Arial"/>
                <w:b/>
              </w:rPr>
              <w:t>ive Date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D10B7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10B7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Revision Dates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D10B7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10B7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Review Due Date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D10B7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10B7D">
        <w:trPr>
          <w:trHeight w:val="70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References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Code of Federal Regulations 42 CFR 59.5 (b)(1-2) </w:t>
            </w:r>
          </w:p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https://www.ecfr.gov/current/title-42/chapter-I/subchapter-D/part-59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10B7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Approved by Signature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D10B7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10B7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3F016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Approved Date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7D" w:rsidRDefault="00D10B7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D10B7D" w:rsidRDefault="003F016E">
      <w:pPr>
        <w:spacing w:before="240" w:after="0" w:line="240" w:lineRule="auto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</w:rPr>
        <w:t xml:space="preserve">Purpose: </w:t>
      </w:r>
      <w:r>
        <w:rPr>
          <w:rFonts w:ascii="Arial" w:eastAsia="Arial" w:hAnsi="Arial" w:cs="Arial"/>
        </w:rPr>
        <w:t xml:space="preserve">The purpose of this policy is to describe </w:t>
      </w:r>
      <w:r>
        <w:rPr>
          <w:rFonts w:ascii="Arial" w:eastAsia="Arial" w:hAnsi="Arial" w:cs="Arial"/>
          <w:b/>
          <w:i/>
          <w:u w:val="single"/>
        </w:rPr>
        <w:t>(insert Agency Name)</w:t>
      </w:r>
      <w:r>
        <w:rPr>
          <w:rFonts w:ascii="Arial" w:eastAsia="Arial" w:hAnsi="Arial" w:cs="Arial"/>
        </w:rPr>
        <w:t xml:space="preserve"> process for ensuring grantee and </w:t>
      </w:r>
      <w:proofErr w:type="spellStart"/>
      <w:r>
        <w:rPr>
          <w:rFonts w:ascii="Arial" w:eastAsia="Arial" w:hAnsi="Arial" w:cs="Arial"/>
        </w:rPr>
        <w:t>subrecipient</w:t>
      </w:r>
      <w:proofErr w:type="spellEnd"/>
      <w:r>
        <w:rPr>
          <w:rFonts w:ascii="Arial" w:eastAsia="Arial" w:hAnsi="Arial" w:cs="Arial"/>
        </w:rPr>
        <w:t xml:space="preserve"> compliance with the requirement that projects must provide for medical services related to family planning in person or via telehealth, and necessary referral to other medical facilities when medically indicat</w:t>
      </w:r>
      <w:r>
        <w:rPr>
          <w:rFonts w:ascii="Arial" w:eastAsia="Arial" w:hAnsi="Arial" w:cs="Arial"/>
        </w:rPr>
        <w:t>ed, and provide for the effective usage of contraceptive devices and practices.</w:t>
      </w:r>
    </w:p>
    <w:p w:rsidR="00D10B7D" w:rsidRDefault="003F016E">
      <w:pPr>
        <w:spacing w:before="240" w:after="0" w:line="240" w:lineRule="auto"/>
        <w:rPr>
          <w:rFonts w:ascii="Arial" w:eastAsia="Arial" w:hAnsi="Arial" w:cs="Arial"/>
          <w:i/>
        </w:rPr>
      </w:pPr>
      <w:bookmarkStart w:id="3" w:name="_heading=h.uc4umaw0vzrb" w:colFirst="0" w:colLast="0"/>
      <w:bookmarkEnd w:id="3"/>
      <w:r>
        <w:rPr>
          <w:rFonts w:ascii="Arial" w:eastAsia="Arial" w:hAnsi="Arial" w:cs="Arial"/>
          <w:b/>
        </w:rPr>
        <w:t xml:space="preserve">Policy: </w:t>
      </w:r>
      <w:r>
        <w:rPr>
          <w:rFonts w:ascii="Arial" w:eastAsia="Arial" w:hAnsi="Arial" w:cs="Arial"/>
          <w:i/>
        </w:rPr>
        <w:t>[Agency may want to include the following]</w:t>
      </w:r>
    </w:p>
    <w:p w:rsidR="00D10B7D" w:rsidRDefault="003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Clients will be provided appropriate medical services related to family planning.</w:t>
      </w:r>
    </w:p>
    <w:p w:rsidR="00D10B7D" w:rsidRDefault="003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Service sites will provide consultation by a clinical services provider which may include physical examination, laboratory examination, and/or contraceptive supplies.</w:t>
      </w:r>
    </w:p>
    <w:p w:rsidR="00D10B7D" w:rsidRDefault="003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Service sites will provide continuing supervision and/or prescription if necessary.</w:t>
      </w:r>
    </w:p>
    <w:p w:rsidR="00D10B7D" w:rsidRDefault="003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Servi</w:t>
      </w:r>
      <w:r>
        <w:rPr>
          <w:rFonts w:ascii="Arial" w:eastAsia="Arial" w:hAnsi="Arial" w:cs="Arial"/>
          <w:color w:val="000000"/>
        </w:rPr>
        <w:t>ces will be provided either in person or via telehealth.</w:t>
      </w:r>
    </w:p>
    <w:p w:rsidR="00D10B7D" w:rsidRDefault="003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Service sites will provide for the effective usage of contraceptive devices and practices.</w:t>
      </w:r>
    </w:p>
    <w:p w:rsidR="00D10B7D" w:rsidRDefault="003F01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Necessary referrals will be made to other medical facilities when medically indicated, including if a client</w:t>
      </w:r>
      <w:r>
        <w:rPr>
          <w:rFonts w:ascii="Arial" w:eastAsia="Arial" w:hAnsi="Arial" w:cs="Arial"/>
          <w:color w:val="000000"/>
        </w:rPr>
        <w:t>’s method of choice is not available at this particular service site.</w:t>
      </w:r>
    </w:p>
    <w:p w:rsidR="00D10B7D" w:rsidRDefault="003F016E">
      <w:pPr>
        <w:spacing w:before="24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Procedure: </w:t>
      </w:r>
      <w:r>
        <w:rPr>
          <w:rFonts w:ascii="Arial" w:eastAsia="Arial" w:hAnsi="Arial" w:cs="Arial"/>
          <w:i/>
        </w:rPr>
        <w:t>[Agency may want to include the following]</w:t>
      </w:r>
    </w:p>
    <w:p w:rsidR="00D10B7D" w:rsidRDefault="003F01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Location of clinical protocols that document the services referenced in this policy.</w:t>
      </w:r>
    </w:p>
    <w:p w:rsidR="00D10B7D" w:rsidRDefault="003F01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Description of collaborative agreements with re</w:t>
      </w:r>
      <w:r>
        <w:rPr>
          <w:rFonts w:ascii="Arial" w:eastAsia="Arial" w:hAnsi="Arial" w:cs="Arial"/>
          <w:color w:val="000000"/>
        </w:rPr>
        <w:t>levant referral agencies such as emergency care, HIV/AIDS care and treatment providers, infertility specialists, primary care, and chronic care management providers.</w:t>
      </w:r>
    </w:p>
    <w:p w:rsidR="00D10B7D" w:rsidRDefault="003F01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Grantee’s process for monitoring </w:t>
      </w:r>
      <w:proofErr w:type="spellStart"/>
      <w:r>
        <w:rPr>
          <w:rFonts w:ascii="Arial" w:eastAsia="Arial" w:hAnsi="Arial" w:cs="Arial"/>
          <w:color w:val="000000"/>
        </w:rPr>
        <w:t>subrecipients</w:t>
      </w:r>
      <w:proofErr w:type="spellEnd"/>
      <w:r>
        <w:rPr>
          <w:rFonts w:ascii="Arial" w:eastAsia="Arial" w:hAnsi="Arial" w:cs="Arial"/>
          <w:color w:val="000000"/>
        </w:rPr>
        <w:t xml:space="preserve"> and service sites to ensure compliance </w:t>
      </w:r>
      <w:proofErr w:type="gramStart"/>
      <w:r>
        <w:rPr>
          <w:rFonts w:ascii="Arial" w:eastAsia="Arial" w:hAnsi="Arial" w:cs="Arial"/>
          <w:color w:val="000000"/>
        </w:rPr>
        <w:t>with</w:t>
      </w:r>
      <w:proofErr w:type="gramEnd"/>
      <w:r>
        <w:rPr>
          <w:rFonts w:ascii="Arial" w:eastAsia="Arial" w:hAnsi="Arial" w:cs="Arial"/>
          <w:color w:val="000000"/>
        </w:rPr>
        <w:t xml:space="preserve"> this requirement.</w:t>
      </w:r>
    </w:p>
    <w:p w:rsidR="00D10B7D" w:rsidRDefault="003F01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staff will be trained and updated on changes to this policy.</w:t>
      </w:r>
    </w:p>
    <w:p w:rsidR="00D10B7D" w:rsidRDefault="003F01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staff can access this policy (location of paper/electronic version(s)).</w:t>
      </w:r>
    </w:p>
    <w:sectPr w:rsidR="00D10B7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16E" w:rsidRDefault="003F016E">
      <w:pPr>
        <w:spacing w:after="0" w:line="240" w:lineRule="auto"/>
      </w:pPr>
      <w:r>
        <w:separator/>
      </w:r>
    </w:p>
  </w:endnote>
  <w:endnote w:type="continuationSeparator" w:id="0">
    <w:p w:rsidR="003F016E" w:rsidRDefault="003F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7D" w:rsidRDefault="003F016E">
    <w:pPr>
      <w:tabs>
        <w:tab w:val="center" w:pos="4680"/>
        <w:tab w:val="right" w:pos="9360"/>
      </w:tabs>
      <w:spacing w:after="0" w:line="240" w:lineRule="auto"/>
      <w:jc w:val="right"/>
      <w:rPr>
        <w:i/>
      </w:rPr>
    </w:pPr>
    <w:r>
      <w:rPr>
        <w:rFonts w:ascii="Arial" w:eastAsia="Arial" w:hAnsi="Arial" w:cs="Arial"/>
        <w:i/>
      </w:rPr>
      <w:t>Updated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16E" w:rsidRDefault="003F016E">
      <w:pPr>
        <w:spacing w:after="0" w:line="240" w:lineRule="auto"/>
      </w:pPr>
      <w:r>
        <w:separator/>
      </w:r>
    </w:p>
  </w:footnote>
  <w:footnote w:type="continuationSeparator" w:id="0">
    <w:p w:rsidR="003F016E" w:rsidRDefault="003F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B7D" w:rsidRDefault="003F01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i/>
        <w:color w:val="000000"/>
      </w:rPr>
    </w:pPr>
    <w:r>
      <w:rPr>
        <w:rFonts w:ascii="Arial" w:eastAsia="Arial" w:hAnsi="Arial" w:cs="Arial"/>
        <w:i/>
        <w:color w:val="000000"/>
      </w:rPr>
      <w:t>[SAMPLE TEMPLATE]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5576"/>
    <w:multiLevelType w:val="multilevel"/>
    <w:tmpl w:val="A17A485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CD3137"/>
    <w:multiLevelType w:val="multilevel"/>
    <w:tmpl w:val="A45A89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7D"/>
    <w:rsid w:val="003F016E"/>
    <w:rsid w:val="006B38E3"/>
    <w:rsid w:val="00D1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EC89D-6D4B-4FB4-B3BE-D2A1059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9A"/>
  </w:style>
  <w:style w:type="paragraph" w:styleId="Heading1">
    <w:name w:val="heading 1"/>
    <w:basedOn w:val="Normal"/>
    <w:next w:val="Normal"/>
    <w:link w:val="Heading1Char"/>
    <w:uiPriority w:val="9"/>
    <w:qFormat/>
    <w:rsid w:val="00920B65"/>
    <w:pPr>
      <w:keepNext/>
      <w:keepLines/>
      <w:tabs>
        <w:tab w:val="left" w:pos="1440"/>
      </w:tabs>
      <w:spacing w:after="0" w:line="240" w:lineRule="auto"/>
      <w:jc w:val="center"/>
      <w:outlineLvl w:val="0"/>
    </w:pPr>
    <w:rPr>
      <w:rFonts w:ascii="Calibri Light" w:hAnsi="Calibri Light"/>
      <w:b/>
      <w:sz w:val="28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C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9A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rsid w:val="00AA0D46"/>
    <w:pPr>
      <w:suppressAutoHyphens/>
      <w:autoSpaceDE w:val="0"/>
      <w:autoSpaceDN w:val="0"/>
      <w:adjustRightInd w:val="0"/>
      <w:spacing w:before="80" w:after="80" w:line="320" w:lineRule="atLeast"/>
    </w:pPr>
    <w:rPr>
      <w:rFonts w:ascii="Myriad Pro" w:hAnsi="Myriad Pro" w:cs="Myriad Pro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0D46"/>
    <w:rPr>
      <w:rFonts w:ascii="Myriad Pro" w:eastAsia="Calibri" w:hAnsi="Myriad Pro" w:cs="Myriad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20B65"/>
    <w:rPr>
      <w:rFonts w:ascii="Calibri Light" w:eastAsia="Calibri" w:hAnsi="Calibri Light" w:cs="Calibr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920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0B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CC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0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A7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A7E"/>
    <w:rPr>
      <w:rFonts w:ascii="Calibri" w:eastAsia="Calibri" w:hAnsi="Calibri" w:cs="Calibri"/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2/chapter-I/subchapter-D/part-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T2d1L4/bPaGpxUJH0kQDtplItg==">AMUW2mX5dpyKsq7NLF3dzXhc2lw9M3AslOXKeyfRvVDdJ+VhaqfWbko0We1Kej5fFkp5zcJ03xAWxT98Of/PQu8naxZlv9wGjBrUvsY+1MImgE3ByFciCSeQ/hLdnZNaIko2FNjgCIjkV7JZbaxT7zDW4LLK8/La4w==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JSI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</dc:creator>
  <cp:lastModifiedBy>Jessie Daigneault</cp:lastModifiedBy>
  <cp:revision>2</cp:revision>
  <dcterms:created xsi:type="dcterms:W3CDTF">2021-12-17T15:17:00Z</dcterms:created>
  <dcterms:modified xsi:type="dcterms:W3CDTF">2021-12-17T15:17:00Z</dcterms:modified>
</cp:coreProperties>
</file>